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2F2F2"/>
        <w:tblCellMar>
          <w:left w:w="0" w:type="dxa"/>
          <w:right w:w="0" w:type="dxa"/>
        </w:tblCellMar>
        <w:tblLook w:val="04A0" w:firstRow="1" w:lastRow="0" w:firstColumn="1" w:lastColumn="0" w:noHBand="0" w:noVBand="1"/>
      </w:tblPr>
      <w:tblGrid>
        <w:gridCol w:w="10800"/>
      </w:tblGrid>
      <w:tr w:rsidR="00D06C84" w:rsidRPr="00D06C84" w:rsidTr="00D06C84">
        <w:tc>
          <w:tcPr>
            <w:tcW w:w="0" w:type="auto"/>
            <w:shd w:val="clear" w:color="auto" w:fill="F2F2F2"/>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10800"/>
            </w:tblGrid>
            <w:tr w:rsidR="00D06C84" w:rsidRPr="00D06C84">
              <w:trPr>
                <w:jc w:val="center"/>
              </w:trPr>
              <w:tc>
                <w:tcPr>
                  <w:tcW w:w="0" w:type="auto"/>
                  <w:shd w:val="clear" w:color="auto" w:fill="FFFFFF"/>
                  <w:hideMark/>
                </w:tcPr>
                <w:tbl>
                  <w:tblPr>
                    <w:tblW w:w="9000" w:type="dxa"/>
                    <w:jc w:val="center"/>
                    <w:tblCellMar>
                      <w:left w:w="0" w:type="dxa"/>
                      <w:right w:w="0" w:type="dxa"/>
                    </w:tblCellMar>
                    <w:tblLook w:val="04A0" w:firstRow="1" w:lastRow="0" w:firstColumn="1" w:lastColumn="0" w:noHBand="0" w:noVBand="1"/>
                  </w:tblPr>
                  <w:tblGrid>
                    <w:gridCol w:w="9000"/>
                  </w:tblGrid>
                  <w:tr w:rsidR="00D06C84" w:rsidRPr="00D06C84">
                    <w:trPr>
                      <w:jc w:val="center"/>
                    </w:trPr>
                    <w:tc>
                      <w:tcPr>
                        <w:tcW w:w="0" w:type="auto"/>
                        <w:tcMar>
                          <w:top w:w="150" w:type="dxa"/>
                          <w:left w:w="0" w:type="dxa"/>
                          <w:bottom w:w="15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06C84" w:rsidRPr="00D06C84">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D06C84" w:rsidRPr="00D06C84">
                                <w:tc>
                                  <w:tcPr>
                                    <w:tcW w:w="0" w:type="auto"/>
                                    <w:tcMar>
                                      <w:top w:w="0" w:type="dxa"/>
                                      <w:left w:w="135" w:type="dxa"/>
                                      <w:bottom w:w="0" w:type="dxa"/>
                                      <w:right w:w="135" w:type="dxa"/>
                                    </w:tcMar>
                                    <w:hideMark/>
                                  </w:tcPr>
                                  <w:p w:rsidR="00D06C84" w:rsidRPr="00D06C84" w:rsidRDefault="00D06C84" w:rsidP="00D06C84">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noProof/>
                                        <w:sz w:val="24"/>
                                        <w:szCs w:val="24"/>
                                        <w:lang w:eastAsia="fr-CA"/>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5372100" cy="1905000"/>
                                          <wp:effectExtent l="0" t="0" r="0" b="0"/>
                                          <wp:wrapSquare wrapText="bothSides"/>
                                          <wp:docPr id="3" name="Image 3" descr="https://gallery.mailchimp.com/814debac19062cdfc36a0c018/images/header_clinique_infolet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814debac19062cdfc36a0c018/images/header_clinique_infolett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06C84" w:rsidRPr="00D06C84" w:rsidRDefault="00D06C84" w:rsidP="00D06C84">
                              <w:pPr>
                                <w:spacing w:after="0" w:line="240" w:lineRule="auto"/>
                                <w:rPr>
                                  <w:rFonts w:ascii="Times New Roman" w:eastAsia="Times New Roman" w:hAnsi="Times New Roman" w:cs="Times New Roman"/>
                                  <w:sz w:val="24"/>
                                  <w:szCs w:val="24"/>
                                  <w:lang w:eastAsia="fr-CA"/>
                                </w:rPr>
                              </w:pPr>
                            </w:p>
                          </w:tc>
                        </w:tr>
                      </w:tbl>
                      <w:p w:rsidR="00D06C84" w:rsidRPr="00D06C84" w:rsidRDefault="00D06C84" w:rsidP="00D06C84">
                        <w:pPr>
                          <w:spacing w:after="0" w:line="240" w:lineRule="auto"/>
                          <w:rPr>
                            <w:rFonts w:ascii="Times New Roman" w:eastAsia="Times New Roman" w:hAnsi="Times New Roman" w:cs="Times New Roman"/>
                            <w:sz w:val="24"/>
                            <w:szCs w:val="24"/>
                            <w:lang w:eastAsia="fr-CA"/>
                          </w:rPr>
                        </w:pPr>
                      </w:p>
                    </w:tc>
                  </w:tr>
                </w:tbl>
                <w:p w:rsidR="00D06C84" w:rsidRPr="00D06C84" w:rsidRDefault="00D06C84" w:rsidP="00D06C84">
                  <w:pPr>
                    <w:spacing w:after="0" w:line="240" w:lineRule="auto"/>
                    <w:jc w:val="center"/>
                    <w:rPr>
                      <w:rFonts w:ascii="Times New Roman" w:eastAsia="Times New Roman" w:hAnsi="Times New Roman" w:cs="Times New Roman"/>
                      <w:sz w:val="24"/>
                      <w:szCs w:val="24"/>
                      <w:lang w:eastAsia="fr-CA"/>
                    </w:rPr>
                  </w:pPr>
                </w:p>
              </w:tc>
            </w:tr>
          </w:tbl>
          <w:p w:rsidR="00D06C84" w:rsidRPr="00D06C84" w:rsidRDefault="00D06C84" w:rsidP="00D06C84">
            <w:pPr>
              <w:spacing w:after="0" w:line="240" w:lineRule="auto"/>
              <w:jc w:val="center"/>
              <w:rPr>
                <w:rFonts w:ascii="Times New Roman" w:eastAsia="Times New Roman" w:hAnsi="Times New Roman" w:cs="Times New Roman"/>
                <w:color w:val="000000"/>
                <w:sz w:val="27"/>
                <w:szCs w:val="27"/>
                <w:lang w:eastAsia="fr-CA"/>
              </w:rPr>
            </w:pPr>
          </w:p>
        </w:tc>
      </w:tr>
      <w:tr w:rsidR="00D06C84" w:rsidRPr="00D06C84" w:rsidTr="00D06C84">
        <w:tc>
          <w:tcPr>
            <w:tcW w:w="0" w:type="auto"/>
            <w:shd w:val="clear" w:color="auto" w:fill="F2F2F2"/>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10800"/>
            </w:tblGrid>
            <w:tr w:rsidR="00D06C84" w:rsidRPr="00D06C84">
              <w:trPr>
                <w:jc w:val="center"/>
              </w:trPr>
              <w:tc>
                <w:tcPr>
                  <w:tcW w:w="0" w:type="auto"/>
                  <w:shd w:val="clear" w:color="auto" w:fill="FFFFFF"/>
                  <w:hideMark/>
                </w:tcPr>
                <w:tbl>
                  <w:tblPr>
                    <w:tblW w:w="9000" w:type="dxa"/>
                    <w:jc w:val="center"/>
                    <w:tblCellMar>
                      <w:left w:w="0" w:type="dxa"/>
                      <w:right w:w="0" w:type="dxa"/>
                    </w:tblCellMar>
                    <w:tblLook w:val="04A0" w:firstRow="1" w:lastRow="0" w:firstColumn="1" w:lastColumn="0" w:noHBand="0" w:noVBand="1"/>
                  </w:tblPr>
                  <w:tblGrid>
                    <w:gridCol w:w="9000"/>
                  </w:tblGrid>
                  <w:tr w:rsidR="00D06C84" w:rsidRPr="00D06C84">
                    <w:trPr>
                      <w:jc w:val="center"/>
                    </w:trPr>
                    <w:tc>
                      <w:tcPr>
                        <w:tcW w:w="0" w:type="auto"/>
                        <w:tcMar>
                          <w:top w:w="150" w:type="dxa"/>
                          <w:left w:w="0" w:type="dxa"/>
                          <w:bottom w:w="15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06C84" w:rsidRPr="00D06C84">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D06C84" w:rsidRPr="00D06C84">
                                <w:tc>
                                  <w:tcPr>
                                    <w:tcW w:w="0" w:type="auto"/>
                                    <w:tcMar>
                                      <w:top w:w="135" w:type="dxa"/>
                                      <w:left w:w="270" w:type="dxa"/>
                                      <w:bottom w:w="135" w:type="dxa"/>
                                      <w:right w:w="270" w:type="dxa"/>
                                    </w:tcMar>
                                    <w:hideMark/>
                                  </w:tcPr>
                                  <w:p w:rsidR="00D06C84" w:rsidRPr="00D06C84" w:rsidRDefault="00D06C84" w:rsidP="00D06C84">
                                    <w:pPr>
                                      <w:spacing w:after="0" w:line="240" w:lineRule="auto"/>
                                      <w:outlineLvl w:val="0"/>
                                      <w:rPr>
                                        <w:rFonts w:ascii="Helvetica" w:eastAsia="Times New Roman" w:hAnsi="Helvetica" w:cs="Helvetica"/>
                                        <w:b/>
                                        <w:bCs/>
                                        <w:color w:val="606060"/>
                                        <w:spacing w:val="-15"/>
                                        <w:kern w:val="36"/>
                                        <w:sz w:val="60"/>
                                        <w:szCs w:val="60"/>
                                        <w:lang w:eastAsia="fr-CA"/>
                                      </w:rPr>
                                    </w:pPr>
                                    <w:r w:rsidRPr="00D06C84">
                                      <w:rPr>
                                        <w:rFonts w:ascii="Helvetica" w:eastAsia="Times New Roman" w:hAnsi="Helvetica" w:cs="Helvetica"/>
                                        <w:b/>
                                        <w:bCs/>
                                        <w:color w:val="336699"/>
                                        <w:spacing w:val="-15"/>
                                        <w:kern w:val="36"/>
                                        <w:sz w:val="36"/>
                                        <w:szCs w:val="36"/>
                                        <w:lang w:eastAsia="fr-CA"/>
                                      </w:rPr>
                                      <w:t>Besoin d’aide avec un trouble de déficit d'attention avec ou sans hyperactivité (TDA/H) ?</w:t>
                                    </w:r>
                                  </w:p>
                                  <w:p w:rsidR="00D06C84" w:rsidRDefault="00D06C84" w:rsidP="00D06C84">
                                    <w:pPr>
                                      <w:spacing w:after="0" w:line="240" w:lineRule="auto"/>
                                      <w:rPr>
                                        <w:rFonts w:ascii="Helvetica" w:eastAsia="Times New Roman" w:hAnsi="Helvetica" w:cs="Helvetica"/>
                                        <w:i/>
                                        <w:iCs/>
                                        <w:color w:val="606060"/>
                                        <w:sz w:val="18"/>
                                        <w:szCs w:val="18"/>
                                        <w:lang w:eastAsia="fr-CA"/>
                                      </w:rPr>
                                    </w:pPr>
                                  </w:p>
                                  <w:p w:rsidR="00D06C84" w:rsidRPr="00D06C84" w:rsidRDefault="00D06C84" w:rsidP="00D06C84">
                                    <w:pPr>
                                      <w:spacing w:after="0" w:line="240" w:lineRule="auto"/>
                                      <w:rPr>
                                        <w:rFonts w:ascii="Helvetica" w:eastAsia="Times New Roman" w:hAnsi="Helvetica" w:cs="Helvetica"/>
                                        <w:color w:val="606060"/>
                                        <w:sz w:val="23"/>
                                        <w:szCs w:val="23"/>
                                        <w:lang w:eastAsia="fr-CA"/>
                                      </w:rPr>
                                    </w:pPr>
                                    <w:r w:rsidRPr="00D06C84">
                                      <w:rPr>
                                        <w:rFonts w:ascii="Helvetica" w:eastAsia="Times New Roman" w:hAnsi="Helvetica" w:cs="Helvetica"/>
                                        <w:i/>
                                        <w:iCs/>
                                        <w:color w:val="606060"/>
                                        <w:sz w:val="18"/>
                                        <w:szCs w:val="18"/>
                                        <w:lang w:eastAsia="fr-CA"/>
                                      </w:rPr>
                                      <w:t>Sachant que les produits pharmaceutiques prescrits sous ordonnances pour traiter le TDA/H ont plusieurs effets secondaires - tels que « l'irritabilité, la léthargie, des sautes d'humeur, des troubles du sommeil [ou la] perte d'appétit »</w:t>
                                    </w:r>
                                    <w:r w:rsidRPr="00D06C84">
                                      <w:rPr>
                                        <w:rFonts w:ascii="Helvetica" w:eastAsia="Times New Roman" w:hAnsi="Helvetica" w:cs="Helvetica"/>
                                        <w:i/>
                                        <w:iCs/>
                                        <w:color w:val="606060"/>
                                        <w:sz w:val="18"/>
                                        <w:szCs w:val="18"/>
                                        <w:vertAlign w:val="superscript"/>
                                        <w:lang w:eastAsia="fr-CA"/>
                                      </w:rPr>
                                      <w:t>1</w:t>
                                    </w:r>
                                    <w:r w:rsidRPr="00D06C84">
                                      <w:rPr>
                                        <w:rFonts w:ascii="Helvetica" w:eastAsia="Times New Roman" w:hAnsi="Helvetica" w:cs="Helvetica"/>
                                        <w:i/>
                                        <w:iCs/>
                                        <w:color w:val="606060"/>
                                        <w:sz w:val="18"/>
                                        <w:szCs w:val="18"/>
                                        <w:lang w:eastAsia="fr-CA"/>
                                      </w:rPr>
                                      <w:t>- les parents sont à la recherche de solutions plus naturelles. Si tel est votre cas, le présent courriel vous offrira plusieurs pistes de solutions.</w:t>
                                    </w:r>
                                  </w:p>
                                  <w:p w:rsidR="00D06C84" w:rsidRPr="00D06C84" w:rsidRDefault="00D06C84" w:rsidP="00D06C84">
                                    <w:pPr>
                                      <w:spacing w:after="0" w:line="338" w:lineRule="atLeast"/>
                                      <w:jc w:val="center"/>
                                      <w:rPr>
                                        <w:rFonts w:ascii="Helvetica" w:eastAsia="Times New Roman" w:hAnsi="Helvetica" w:cs="Helvetica"/>
                                        <w:color w:val="606060"/>
                                        <w:sz w:val="23"/>
                                        <w:szCs w:val="23"/>
                                        <w:lang w:eastAsia="fr-CA"/>
                                      </w:rPr>
                                    </w:pPr>
                                    <w:r w:rsidRPr="00D06C84">
                                      <w:rPr>
                                        <w:rFonts w:ascii="Helvetica" w:eastAsia="Times New Roman" w:hAnsi="Helvetica" w:cs="Helvetica"/>
                                        <w:color w:val="606060"/>
                                        <w:sz w:val="23"/>
                                        <w:szCs w:val="23"/>
                                        <w:lang w:eastAsia="fr-CA"/>
                                      </w:rPr>
                                      <w:t> </w:t>
                                    </w:r>
                                  </w:p>
                                  <w:p w:rsidR="00D06C84" w:rsidRPr="00D06C84" w:rsidRDefault="00D06C84" w:rsidP="00D06C84">
                                    <w:pPr>
                                      <w:spacing w:after="0" w:line="338" w:lineRule="atLeast"/>
                                      <w:jc w:val="center"/>
                                      <w:rPr>
                                        <w:rFonts w:ascii="Helvetica" w:eastAsia="Times New Roman" w:hAnsi="Helvetica" w:cs="Helvetica"/>
                                        <w:color w:val="606060"/>
                                        <w:sz w:val="23"/>
                                        <w:szCs w:val="23"/>
                                        <w:lang w:eastAsia="fr-CA"/>
                                      </w:rPr>
                                    </w:pPr>
                                    <w:r w:rsidRPr="00D06C84">
                                      <w:rPr>
                                        <w:rFonts w:ascii="Helvetica" w:eastAsia="Times New Roman" w:hAnsi="Helvetica" w:cs="Helvetica"/>
                                        <w:i/>
                                        <w:iCs/>
                                        <w:noProof/>
                                        <w:color w:val="606060"/>
                                        <w:sz w:val="20"/>
                                        <w:szCs w:val="20"/>
                                        <w:lang w:eastAsia="fr-CA"/>
                                      </w:rPr>
                                      <w:drawing>
                                        <wp:anchor distT="0" distB="0" distL="114300" distR="114300" simplePos="0" relativeHeight="251659264" behindDoc="0" locked="0" layoutInCell="1" allowOverlap="1" wp14:anchorId="4A5CA936" wp14:editId="5FD45B40">
                                          <wp:simplePos x="0" y="0"/>
                                          <wp:positionH relativeFrom="column">
                                            <wp:posOffset>0</wp:posOffset>
                                          </wp:positionH>
                                          <wp:positionV relativeFrom="paragraph">
                                            <wp:posOffset>-730885</wp:posOffset>
                                          </wp:positionV>
                                          <wp:extent cx="1695450" cy="1113790"/>
                                          <wp:effectExtent l="0" t="0" r="0" b="0"/>
                                          <wp:wrapSquare wrapText="bothSides"/>
                                          <wp:docPr id="2" name="Image 2" descr="https://gallery.mailchimp.com/814debac19062cdfc36a0c018/images/TD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814debac19062cdfc36a0c018/images/TDA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450" cy="1113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C84">
                                      <w:rPr>
                                        <w:rFonts w:ascii="Helvetica" w:eastAsia="Times New Roman" w:hAnsi="Helvetica" w:cs="Helvetica"/>
                                        <w:color w:val="606060"/>
                                        <w:sz w:val="23"/>
                                        <w:szCs w:val="23"/>
                                        <w:lang w:eastAsia="fr-CA"/>
                                      </w:rPr>
                                      <w:t> </w:t>
                                    </w:r>
                                  </w:p>
                                  <w:p w:rsidR="00D06C84" w:rsidRPr="00D06C84" w:rsidRDefault="00D06C84" w:rsidP="00D06C84">
                                    <w:pPr>
                                      <w:spacing w:after="0" w:line="488" w:lineRule="atLeast"/>
                                      <w:outlineLvl w:val="1"/>
                                      <w:rPr>
                                        <w:rFonts w:ascii="Helvetica" w:eastAsia="Times New Roman" w:hAnsi="Helvetica" w:cs="Helvetica"/>
                                        <w:b/>
                                        <w:bCs/>
                                        <w:color w:val="606060"/>
                                        <w:spacing w:val="-11"/>
                                        <w:sz w:val="39"/>
                                        <w:szCs w:val="39"/>
                                        <w:lang w:eastAsia="fr-CA"/>
                                      </w:rPr>
                                    </w:pPr>
                                    <w:r w:rsidRPr="00D06C84">
                                      <w:rPr>
                                        <w:rFonts w:ascii="Helvetica" w:eastAsia="Times New Roman" w:hAnsi="Helvetica" w:cs="Helvetica"/>
                                        <w:b/>
                                        <w:bCs/>
                                        <w:color w:val="606060"/>
                                        <w:spacing w:val="-11"/>
                                        <w:sz w:val="39"/>
                                        <w:szCs w:val="39"/>
                                        <w:lang w:eastAsia="fr-CA"/>
                                      </w:rPr>
                                      <w:t>La condition du mois : Le TDA/H</w:t>
                                    </w:r>
                                  </w:p>
                                  <w:p w:rsidR="00D06C84" w:rsidRPr="00D06C84" w:rsidRDefault="00D06C84" w:rsidP="00D06C84">
                                    <w:pPr>
                                      <w:spacing w:before="240" w:after="240" w:line="240" w:lineRule="auto"/>
                                      <w:rPr>
                                        <w:rFonts w:ascii="Helvetica" w:eastAsia="Times New Roman" w:hAnsi="Helvetica" w:cs="Helvetica"/>
                                        <w:color w:val="606060"/>
                                        <w:sz w:val="20"/>
                                        <w:szCs w:val="20"/>
                                        <w:lang w:eastAsia="fr-CA"/>
                                      </w:rPr>
                                    </w:pPr>
                                    <w:r w:rsidRPr="00D06C84">
                                      <w:rPr>
                                        <w:rFonts w:ascii="Helvetica" w:eastAsia="Times New Roman" w:hAnsi="Helvetica" w:cs="Helvetica"/>
                                        <w:color w:val="606060"/>
                                        <w:sz w:val="20"/>
                                        <w:szCs w:val="20"/>
                                        <w:lang w:eastAsia="fr-CA"/>
                                      </w:rPr>
                                      <w:t>Le manque de concentration, l’inattention, l’impatience, l’impulsivité, les sauts d’humeur et la difficulté à demeurer en place sont les symptômes qui caractérisent les personnes atteintes de troubles de déficit de l’attention avec hyperactivité (TDA/H).Pourtant, « [i]l existe une surabondance de conditions déguisées en problèmes d’attention. Celles-ci incluent les carences alimentaires, les problèmes de vision ou d’audition, le stress émotionnel, les allergies, le manque de sommeil, le manque d’exercice, les difficultés d’apprentissage et la dépression. »</w:t>
                                    </w:r>
                                    <w:r w:rsidRPr="00D06C84">
                                      <w:rPr>
                                        <w:rFonts w:ascii="Helvetica" w:eastAsia="Times New Roman" w:hAnsi="Helvetica" w:cs="Helvetica"/>
                                        <w:color w:val="606060"/>
                                        <w:sz w:val="20"/>
                                        <w:szCs w:val="20"/>
                                        <w:vertAlign w:val="superscript"/>
                                        <w:lang w:eastAsia="fr-CA"/>
                                      </w:rPr>
                                      <w:t>2</w:t>
                                    </w:r>
                                    <w:r w:rsidRPr="00D06C84">
                                      <w:rPr>
                                        <w:rFonts w:ascii="Helvetica" w:eastAsia="Times New Roman" w:hAnsi="Helvetica" w:cs="Helvetica"/>
                                        <w:color w:val="606060"/>
                                        <w:sz w:val="20"/>
                                        <w:szCs w:val="20"/>
                                        <w:lang w:eastAsia="fr-CA"/>
                                      </w:rPr>
                                      <w:t>Alors que seulement 5% des jeunes Québécois souffriraient de TDA/H, les spécialistes s’entendent pour dire que le diagnostic est trop souvent donné à tort ! Pour cette raison, il est important que le diagnostic soit fait par un professionnel de la santé mentale spécialisée dans les troubles d’attention. En cas de doute, n’hésitez pas à demander un deuxième avis.</w:t>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b/>
                                        <w:bCs/>
                                        <w:color w:val="606060"/>
                                        <w:sz w:val="20"/>
                                        <w:szCs w:val="20"/>
                                        <w:lang w:eastAsia="fr-CA"/>
                                      </w:rPr>
                                      <w:t>Quelques faits sur les troubles de déficit d’attention avec ou sans hyperactivité :</w:t>
                                    </w:r>
                                  </w:p>
                                  <w:p w:rsidR="00D06C84" w:rsidRPr="00D06C84" w:rsidRDefault="00D06C84" w:rsidP="00D06C84">
                                    <w:pPr>
                                      <w:numPr>
                                        <w:ilvl w:val="0"/>
                                        <w:numId w:val="1"/>
                                      </w:numPr>
                                      <w:spacing w:before="100" w:beforeAutospacing="1" w:after="100" w:afterAutospacing="1" w:line="240" w:lineRule="auto"/>
                                      <w:rPr>
                                        <w:rFonts w:ascii="Helvetica" w:eastAsia="Times New Roman" w:hAnsi="Helvetica" w:cs="Helvetica"/>
                                        <w:color w:val="606060"/>
                                        <w:sz w:val="20"/>
                                        <w:szCs w:val="20"/>
                                        <w:lang w:eastAsia="fr-CA"/>
                                      </w:rPr>
                                    </w:pPr>
                                    <w:r w:rsidRPr="00D06C84">
                                      <w:rPr>
                                        <w:rFonts w:ascii="Helvetica" w:eastAsia="Times New Roman" w:hAnsi="Helvetica" w:cs="Helvetica"/>
                                        <w:color w:val="606060"/>
                                        <w:sz w:val="20"/>
                                        <w:szCs w:val="20"/>
                                        <w:lang w:eastAsia="fr-CA"/>
                                      </w:rPr>
                                      <w:t>Le TDA/H est, entre autres, causé par une exposition aux substances toxiques et la consommation d’alcool ou de tabac durant la grossesse. En effet, le risque de mettre au monde un enfant atteint de problèmes d’attention est deux fois plus important chez les fumeuses.</w:t>
                                    </w:r>
                                  </w:p>
                                  <w:p w:rsidR="00D06C84" w:rsidRPr="00D06C84" w:rsidRDefault="00D06C84" w:rsidP="00D06C84">
                                    <w:pPr>
                                      <w:numPr>
                                        <w:ilvl w:val="0"/>
                                        <w:numId w:val="1"/>
                                      </w:numPr>
                                      <w:spacing w:before="100" w:beforeAutospacing="1" w:after="100" w:afterAutospacing="1" w:line="240" w:lineRule="auto"/>
                                      <w:rPr>
                                        <w:rFonts w:ascii="Helvetica" w:eastAsia="Times New Roman" w:hAnsi="Helvetica" w:cs="Helvetica"/>
                                        <w:color w:val="606060"/>
                                        <w:sz w:val="20"/>
                                        <w:szCs w:val="20"/>
                                        <w:lang w:eastAsia="fr-CA"/>
                                      </w:rPr>
                                    </w:pPr>
                                    <w:r w:rsidRPr="00D06C84">
                                      <w:rPr>
                                        <w:rFonts w:ascii="Helvetica" w:eastAsia="Times New Roman" w:hAnsi="Helvetica" w:cs="Helvetica"/>
                                        <w:color w:val="606060"/>
                                        <w:sz w:val="20"/>
                                        <w:szCs w:val="20"/>
                                        <w:lang w:eastAsia="fr-CA"/>
                                      </w:rPr>
                                      <w:t>Le TDA/</w:t>
                                    </w:r>
                                    <w:proofErr w:type="spellStart"/>
                                    <w:r w:rsidRPr="00D06C84">
                                      <w:rPr>
                                        <w:rFonts w:ascii="Helvetica" w:eastAsia="Times New Roman" w:hAnsi="Helvetica" w:cs="Helvetica"/>
                                        <w:color w:val="606060"/>
                                        <w:sz w:val="20"/>
                                        <w:szCs w:val="20"/>
                                        <w:lang w:eastAsia="fr-CA"/>
                                      </w:rPr>
                                      <w:t>Haffecte</w:t>
                                    </w:r>
                                    <w:proofErr w:type="spellEnd"/>
                                    <w:r w:rsidRPr="00D06C84">
                                      <w:rPr>
                                        <w:rFonts w:ascii="Helvetica" w:eastAsia="Times New Roman" w:hAnsi="Helvetica" w:cs="Helvetica"/>
                                        <w:color w:val="606060"/>
                                        <w:sz w:val="20"/>
                                        <w:szCs w:val="20"/>
                                        <w:lang w:eastAsia="fr-CA"/>
                                      </w:rPr>
                                      <w:t xml:space="preserve"> de six à neuf fois plus les garçons que les filles.</w:t>
                                    </w:r>
                                  </w:p>
                                  <w:p w:rsidR="00D06C84" w:rsidRDefault="00D06C84" w:rsidP="00D06C84">
                                    <w:pPr>
                                      <w:numPr>
                                        <w:ilvl w:val="0"/>
                                        <w:numId w:val="1"/>
                                      </w:numPr>
                                      <w:spacing w:before="100" w:beforeAutospacing="1" w:after="100" w:afterAutospacing="1" w:line="240" w:lineRule="auto"/>
                                      <w:rPr>
                                        <w:rFonts w:ascii="Helvetica" w:eastAsia="Times New Roman" w:hAnsi="Helvetica" w:cs="Helvetica"/>
                                        <w:color w:val="606060"/>
                                        <w:sz w:val="20"/>
                                        <w:szCs w:val="20"/>
                                        <w:lang w:eastAsia="fr-CA"/>
                                      </w:rPr>
                                    </w:pPr>
                                    <w:r w:rsidRPr="00D06C84">
                                      <w:rPr>
                                        <w:rFonts w:ascii="Helvetica" w:eastAsia="Times New Roman" w:hAnsi="Helvetica" w:cs="Helvetica"/>
                                        <w:color w:val="606060"/>
                                        <w:sz w:val="20"/>
                                        <w:szCs w:val="20"/>
                                        <w:lang w:eastAsia="fr-CA"/>
                                      </w:rPr>
                                      <w:t>Le TDA/H ne touche pas seulement les enfants. Bien que les signes soient généralement visibles lorsque l’enfant commence l’école, autour de sept ans, ils deviennent des adolescents et des adultes qui continuent de composer avec cette condition.</w:t>
                                    </w:r>
                                  </w:p>
                                  <w:p w:rsidR="00D06C84" w:rsidRDefault="00D06C84" w:rsidP="00D06C84">
                                    <w:pPr>
                                      <w:spacing w:before="100" w:beforeAutospacing="1" w:after="100" w:afterAutospacing="1" w:line="240" w:lineRule="auto"/>
                                      <w:ind w:left="720"/>
                                      <w:rPr>
                                        <w:rFonts w:ascii="Helvetica" w:eastAsia="Times New Roman" w:hAnsi="Helvetica" w:cs="Helvetica"/>
                                        <w:color w:val="606060"/>
                                        <w:sz w:val="20"/>
                                        <w:szCs w:val="20"/>
                                        <w:lang w:eastAsia="fr-CA"/>
                                      </w:rPr>
                                    </w:pPr>
                                  </w:p>
                                  <w:p w:rsidR="00D06C84" w:rsidRPr="00D06C84" w:rsidRDefault="00D06C84" w:rsidP="00D06C84">
                                    <w:pPr>
                                      <w:spacing w:before="100" w:beforeAutospacing="1" w:after="100" w:afterAutospacing="1" w:line="240" w:lineRule="auto"/>
                                      <w:ind w:left="720"/>
                                      <w:rPr>
                                        <w:rFonts w:ascii="Helvetica" w:eastAsia="Times New Roman" w:hAnsi="Helvetica" w:cs="Helvetica"/>
                                        <w:color w:val="606060"/>
                                        <w:sz w:val="20"/>
                                        <w:szCs w:val="20"/>
                                        <w:lang w:eastAsia="fr-CA"/>
                                      </w:rPr>
                                    </w:pPr>
                                  </w:p>
                                  <w:p w:rsidR="00D06C84" w:rsidRPr="00D06C84" w:rsidRDefault="00D06C84" w:rsidP="00D06C84">
                                    <w:pPr>
                                      <w:spacing w:before="240" w:after="240" w:line="240" w:lineRule="auto"/>
                                      <w:rPr>
                                        <w:rFonts w:ascii="Helvetica" w:eastAsia="Times New Roman" w:hAnsi="Helvetica" w:cs="Helvetica"/>
                                        <w:color w:val="606060"/>
                                        <w:sz w:val="20"/>
                                        <w:szCs w:val="20"/>
                                        <w:lang w:eastAsia="fr-CA"/>
                                      </w:rPr>
                                    </w:pPr>
                                    <w:r w:rsidRPr="00D06C84">
                                      <w:rPr>
                                        <w:rFonts w:ascii="Helvetica" w:eastAsia="Times New Roman" w:hAnsi="Helvetica" w:cs="Helvetica"/>
                                        <w:b/>
                                        <w:bCs/>
                                        <w:color w:val="606060"/>
                                        <w:sz w:val="20"/>
                                        <w:szCs w:val="20"/>
                                        <w:lang w:eastAsia="fr-CA"/>
                                      </w:rPr>
                                      <w:lastRenderedPageBreak/>
                                      <w:t>La chiropratique pour traiter les troubles de déficit d’attention avec ou sans hyperactivité</w:t>
                                    </w:r>
                                    <w:r w:rsidRPr="00D06C84">
                                      <w:rPr>
                                        <w:rFonts w:ascii="Helvetica" w:eastAsia="Times New Roman" w:hAnsi="Helvetica" w:cs="Helvetica"/>
                                        <w:color w:val="606060"/>
                                        <w:sz w:val="20"/>
                                        <w:szCs w:val="20"/>
                                        <w:lang w:eastAsia="fr-CA"/>
                                      </w:rPr>
                                      <w:br/>
                                      <w:t xml:space="preserve">« Même en ne traitant pas directement le TDAH, la chiropratique peut significativement aider. La majorité des enfants touchés présentent des difficultés motrices, des problèmes d’équilibre et des troubles posturaux pouvant être améliorés, voire </w:t>
                                    </w:r>
                                    <w:proofErr w:type="gramStart"/>
                                    <w:r w:rsidRPr="00D06C84">
                                      <w:rPr>
                                        <w:rFonts w:ascii="Helvetica" w:eastAsia="Times New Roman" w:hAnsi="Helvetica" w:cs="Helvetica"/>
                                        <w:color w:val="606060"/>
                                        <w:sz w:val="20"/>
                                        <w:szCs w:val="20"/>
                                        <w:lang w:eastAsia="fr-CA"/>
                                      </w:rPr>
                                      <w:t>corriger</w:t>
                                    </w:r>
                                    <w:proofErr w:type="gramEnd"/>
                                    <w:r w:rsidRPr="00D06C84">
                                      <w:rPr>
                                        <w:rFonts w:ascii="Helvetica" w:eastAsia="Times New Roman" w:hAnsi="Helvetica" w:cs="Helvetica"/>
                                        <w:color w:val="606060"/>
                                        <w:sz w:val="20"/>
                                        <w:szCs w:val="20"/>
                                        <w:lang w:eastAsia="fr-CA"/>
                                      </w:rPr>
                                      <w:t xml:space="preserve"> par un chiropraticien. Ce dernier identifiera si certaines fonctions neurologiques tardent à se développer. Par des traitements adaptés ou la prescription d’exercices précis, il améliorera de façon significative la condition générale de plusieurs enfants atteints.»</w:t>
                                    </w:r>
                                    <w:r w:rsidRPr="00D06C84">
                                      <w:rPr>
                                        <w:rFonts w:ascii="Helvetica" w:eastAsia="Times New Roman" w:hAnsi="Helvetica" w:cs="Helvetica"/>
                                        <w:color w:val="606060"/>
                                        <w:sz w:val="20"/>
                                        <w:szCs w:val="20"/>
                                        <w:vertAlign w:val="superscript"/>
                                        <w:lang w:eastAsia="fr-CA"/>
                                      </w:rPr>
                                      <w:t>3</w:t>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color w:val="606060"/>
                                        <w:sz w:val="20"/>
                                        <w:szCs w:val="20"/>
                                        <w:lang w:eastAsia="fr-CA"/>
                                      </w:rPr>
                                      <w:br/>
                                      <w:t>Les résultats chiropratiques sont bien réels puisqu’une étude de l’Université du Mississippi conclu que les manipulations chiropratiques ont le potentiel de devenir une intervention importante et non médicamenteuse pour les enfants avec hyperactivité »</w:t>
                                    </w:r>
                                    <w:r w:rsidRPr="00D06C84">
                                      <w:rPr>
                                        <w:rFonts w:ascii="Helvetica" w:eastAsia="Times New Roman" w:hAnsi="Helvetica" w:cs="Helvetica"/>
                                        <w:color w:val="606060"/>
                                        <w:sz w:val="20"/>
                                        <w:szCs w:val="20"/>
                                        <w:vertAlign w:val="superscript"/>
                                        <w:lang w:eastAsia="fr-CA"/>
                                      </w:rPr>
                                      <w:t>4</w:t>
                                    </w:r>
                                    <w:r w:rsidRPr="00D06C84">
                                      <w:rPr>
                                        <w:rFonts w:ascii="Helvetica" w:eastAsia="Times New Roman" w:hAnsi="Helvetica" w:cs="Helvetica"/>
                                        <w:color w:val="606060"/>
                                        <w:sz w:val="20"/>
                                        <w:szCs w:val="20"/>
                                        <w:lang w:eastAsia="fr-CA"/>
                                      </w:rPr>
                                      <w:t>puisque cinq enfants hyperactifs sur sept ont connu une amélioration de leur comportement comparativement au groupe suivant un traitement placebo.</w:t>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color w:val="606060"/>
                                        <w:sz w:val="20"/>
                                        <w:szCs w:val="20"/>
                                        <w:lang w:eastAsia="fr-CA"/>
                                      </w:rPr>
                                      <w:br/>
                                      <w:t>Par ailleurs, le chiropraticien est un professionnel de la santé qui peut vous guider dans le choix d’une activité physique appropriée, vous fournir des informations nutritionnelles ou vous renseigner sur les suppléments alimentaires. Chaque personne étant unique, il saura vous donner des conseils personnalisés.</w:t>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b/>
                                        <w:bCs/>
                                        <w:color w:val="606060"/>
                                        <w:sz w:val="20"/>
                                        <w:szCs w:val="20"/>
                                        <w:lang w:eastAsia="fr-CA"/>
                                      </w:rPr>
                                      <w:t>Quelques pistes de solutions </w:t>
                                    </w:r>
                                    <w:proofErr w:type="gramStart"/>
                                    <w:r w:rsidRPr="00D06C84">
                                      <w:rPr>
                                        <w:rFonts w:ascii="Helvetica" w:eastAsia="Times New Roman" w:hAnsi="Helvetica" w:cs="Helvetica"/>
                                        <w:b/>
                                        <w:bCs/>
                                        <w:color w:val="606060"/>
                                        <w:sz w:val="20"/>
                                        <w:szCs w:val="20"/>
                                        <w:lang w:eastAsia="fr-CA"/>
                                      </w:rPr>
                                      <w:t>:</w:t>
                                    </w:r>
                                    <w:proofErr w:type="gramEnd"/>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b/>
                                        <w:bCs/>
                                        <w:color w:val="606060"/>
                                        <w:sz w:val="20"/>
                                        <w:szCs w:val="20"/>
                                        <w:u w:val="single"/>
                                        <w:lang w:eastAsia="fr-CA"/>
                                      </w:rPr>
                                      <w:t>Une saine alimentation</w:t>
                                    </w:r>
                                    <w:r w:rsidRPr="00D06C84">
                                      <w:rPr>
                                        <w:rFonts w:ascii="Helvetica" w:eastAsia="Times New Roman" w:hAnsi="Helvetica" w:cs="Helvetica"/>
                                        <w:color w:val="606060"/>
                                        <w:sz w:val="20"/>
                                        <w:szCs w:val="20"/>
                                        <w:lang w:eastAsia="fr-CA"/>
                                      </w:rPr>
                                      <w:br/>
                                      <w:t xml:space="preserve">Les personnes atteintes de TDA/H sont particulièrement sensibles aux toxines telles que la cigarette ou la poussière. Pour cette raison, il leur est suggéré d’adopté une alimentation biologique parce qu’elle sans pesticides, sans toxines et sans additifs. Dans la même suite d’idées, il faudrait se tenir loin des poissons à forte teneur en mercure tels que </w:t>
                                    </w:r>
                                    <w:proofErr w:type="spellStart"/>
                                    <w:r w:rsidRPr="00D06C84">
                                      <w:rPr>
                                        <w:rFonts w:ascii="Helvetica" w:eastAsia="Times New Roman" w:hAnsi="Helvetica" w:cs="Helvetica"/>
                                        <w:color w:val="606060"/>
                                        <w:sz w:val="20"/>
                                        <w:szCs w:val="20"/>
                                        <w:lang w:eastAsia="fr-CA"/>
                                      </w:rPr>
                                      <w:t>l-’espadon</w:t>
                                    </w:r>
                                    <w:proofErr w:type="spellEnd"/>
                                    <w:r w:rsidRPr="00D06C84">
                                      <w:rPr>
                                        <w:rFonts w:ascii="Helvetica" w:eastAsia="Times New Roman" w:hAnsi="Helvetica" w:cs="Helvetica"/>
                                        <w:color w:val="606060"/>
                                        <w:sz w:val="20"/>
                                        <w:szCs w:val="20"/>
                                        <w:lang w:eastAsia="fr-CA"/>
                                      </w:rPr>
                                      <w:t xml:space="preserve"> ou  le maquereau.</w:t>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color w:val="606060"/>
                                        <w:sz w:val="20"/>
                                        <w:szCs w:val="20"/>
                                        <w:lang w:eastAsia="fr-CA"/>
                                      </w:rPr>
                                      <w:br/>
                                      <w:t xml:space="preserve">Bien que la médecine traditionnelle se base sur une conférence scientifique du National Institutes of </w:t>
                                    </w:r>
                                    <w:proofErr w:type="spellStart"/>
                                    <w:r w:rsidRPr="00D06C84">
                                      <w:rPr>
                                        <w:rFonts w:ascii="Helvetica" w:eastAsia="Times New Roman" w:hAnsi="Helvetica" w:cs="Helvetica"/>
                                        <w:color w:val="606060"/>
                                        <w:sz w:val="20"/>
                                        <w:szCs w:val="20"/>
                                        <w:lang w:eastAsia="fr-CA"/>
                                      </w:rPr>
                                      <w:t>Healthde</w:t>
                                    </w:r>
                                    <w:proofErr w:type="spellEnd"/>
                                    <w:r w:rsidRPr="00D06C84">
                                      <w:rPr>
                                        <w:rFonts w:ascii="Helvetica" w:eastAsia="Times New Roman" w:hAnsi="Helvetica" w:cs="Helvetica"/>
                                        <w:color w:val="606060"/>
                                        <w:sz w:val="20"/>
                                        <w:szCs w:val="20"/>
                                        <w:lang w:eastAsia="fr-CA"/>
                                      </w:rPr>
                                      <w:t xml:space="preserve"> 1982 pour dire que les régimes alimentaires ont un impact peu significatif (5%) sur le TDA/H, de récentes études tendent plutôt à croire qu’un régime d’exclusion atténuerait grandement les symptômes de TDA/H. Pour ce faire, il faudrait éviter de consommer des aliments contenant des additifs (colorants, édulcorants, agents de conservation, etc.) et des allergènes (produits laitiers, œufs, soya, maïs, etc.).</w:t>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color w:val="606060"/>
                                        <w:sz w:val="20"/>
                                        <w:szCs w:val="20"/>
                                        <w:lang w:eastAsia="fr-CA"/>
                                      </w:rPr>
                                      <w:br/>
                                      <w:t>Dans le cas où une hyperactivité est en cause, il est plein de bon sens d’évite le sucre (friandises, cocktails de fruits, etc.), la caféine (boissons gazeuses, thé, café, etc.) et le chocolat. Il en va de même avec les hydrates de carbone (pâtes, riz blanc, pomme de terre avec la peau, bonbons, etc.) qui fournissent un supplément d’énergie à dépenser dont ils sauront se passer.</w:t>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color w:val="606060"/>
                                        <w:sz w:val="20"/>
                                        <w:szCs w:val="20"/>
                                        <w:lang w:eastAsia="fr-CA"/>
                                      </w:rPr>
                                      <w:br/>
                                      <w:t>Pour inciter au sommeil ou à une période de repos - tel que la sieste à la garderie ou à l’école, il faut favoriser les glucides présents dans les fruits et les légumes. De manière générale un équilibre entre les protéines (viandes, légumineuses, noix, etc.) et les glucides devrait toujours être gardé à l’esprit lors de la préparation des repas.</w:t>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b/>
                                        <w:bCs/>
                                        <w:color w:val="606060"/>
                                        <w:sz w:val="20"/>
                                        <w:szCs w:val="20"/>
                                        <w:u w:val="single"/>
                                        <w:lang w:eastAsia="fr-CA"/>
                                      </w:rPr>
                                      <w:t>Les produits naturels et les suppléments alimentaires</w:t>
                                    </w:r>
                                    <w:r w:rsidRPr="00D06C84">
                                      <w:rPr>
                                        <w:rFonts w:ascii="Helvetica" w:eastAsia="Times New Roman" w:hAnsi="Helvetica" w:cs="Helvetica"/>
                                        <w:color w:val="606060"/>
                                        <w:sz w:val="20"/>
                                        <w:szCs w:val="20"/>
                                        <w:lang w:eastAsia="fr-CA"/>
                                      </w:rPr>
                                      <w:br/>
                                      <w:t>Une alimentation équilibrée, compète et variée est particulièrement conseillé dans le cas de TDA/H. Il peut parfois être intéressant de palier avec des suppléments alimentaires.</w:t>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color w:val="606060"/>
                                        <w:sz w:val="20"/>
                                        <w:szCs w:val="20"/>
                                        <w:lang w:eastAsia="fr-CA"/>
                                      </w:rPr>
                                      <w:br/>
                                      <w:t xml:space="preserve">Selon une étude parue dans l'American Journal of </w:t>
                                    </w:r>
                                    <w:proofErr w:type="spellStart"/>
                                    <w:r w:rsidRPr="00D06C84">
                                      <w:rPr>
                                        <w:rFonts w:ascii="Helvetica" w:eastAsia="Times New Roman" w:hAnsi="Helvetica" w:cs="Helvetica"/>
                                        <w:color w:val="606060"/>
                                        <w:sz w:val="20"/>
                                        <w:szCs w:val="20"/>
                                        <w:lang w:eastAsia="fr-CA"/>
                                      </w:rPr>
                                      <w:t>Clinical</w:t>
                                    </w:r>
                                    <w:proofErr w:type="spellEnd"/>
                                    <w:r w:rsidRPr="00D06C84">
                                      <w:rPr>
                                        <w:rFonts w:ascii="Helvetica" w:eastAsia="Times New Roman" w:hAnsi="Helvetica" w:cs="Helvetica"/>
                                        <w:color w:val="606060"/>
                                        <w:sz w:val="20"/>
                                        <w:szCs w:val="20"/>
                                        <w:lang w:eastAsia="fr-CA"/>
                                      </w:rPr>
                                      <w:t xml:space="preserve"> Nutrition, les enfants atteints de TDA/H auraient une concentration sanguine en acide gras beaucoup plus faible. Pour remédier à la situation, il peut être intéressant de consommer des oméga-3 que ce soit sous forme de suppléments alimentaires ou à travers des aliments tels </w:t>
                                    </w:r>
                                    <w:proofErr w:type="spellStart"/>
                                    <w:r w:rsidRPr="00D06C84">
                                      <w:rPr>
                                        <w:rFonts w:ascii="Helvetica" w:eastAsia="Times New Roman" w:hAnsi="Helvetica" w:cs="Helvetica"/>
                                        <w:color w:val="606060"/>
                                        <w:sz w:val="20"/>
                                        <w:szCs w:val="20"/>
                                        <w:lang w:eastAsia="fr-CA"/>
                                      </w:rPr>
                                      <w:t>quele</w:t>
                                    </w:r>
                                    <w:proofErr w:type="spellEnd"/>
                                    <w:r w:rsidRPr="00D06C84">
                                      <w:rPr>
                                        <w:rFonts w:ascii="Helvetica" w:eastAsia="Times New Roman" w:hAnsi="Helvetica" w:cs="Helvetica"/>
                                        <w:color w:val="606060"/>
                                        <w:sz w:val="20"/>
                                        <w:szCs w:val="20"/>
                                        <w:lang w:eastAsia="fr-CA"/>
                                      </w:rPr>
                                      <w:t xml:space="preserve"> poisson -</w:t>
                                    </w:r>
                                    <w:proofErr w:type="spellStart"/>
                                    <w:r w:rsidRPr="00D06C84">
                                      <w:rPr>
                                        <w:rFonts w:ascii="Helvetica" w:eastAsia="Times New Roman" w:hAnsi="Helvetica" w:cs="Helvetica"/>
                                        <w:color w:val="606060"/>
                                        <w:sz w:val="20"/>
                                        <w:szCs w:val="20"/>
                                        <w:lang w:eastAsia="fr-CA"/>
                                      </w:rPr>
                                      <w:t>spécialementle</w:t>
                                    </w:r>
                                    <w:proofErr w:type="spellEnd"/>
                                    <w:r w:rsidRPr="00D06C84">
                                      <w:rPr>
                                        <w:rFonts w:ascii="Helvetica" w:eastAsia="Times New Roman" w:hAnsi="Helvetica" w:cs="Helvetica"/>
                                        <w:color w:val="606060"/>
                                        <w:sz w:val="20"/>
                                        <w:szCs w:val="20"/>
                                        <w:lang w:eastAsia="fr-CA"/>
                                      </w:rPr>
                                      <w:t xml:space="preserve"> thon, le saumon, la truite et les sardines-, les noix, les avocats ainsi que l’huile d’olive ou de lin. Une option intéressante parce qu’elle aide à traiter e TDA/H sans effets secondaires. Il est recommandé d’en consommer 400mg par jour.</w:t>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color w:val="606060"/>
                                        <w:sz w:val="20"/>
                                        <w:szCs w:val="20"/>
                                        <w:lang w:eastAsia="fr-CA"/>
                                      </w:rPr>
                                      <w:br/>
                                      <w:t xml:space="preserve">Une carence en zinc, détectable grâce à un test sanguin, peut également être une des causes du TDA/H. En plus des suppléments, le zinc se retrouve dans le bœuf, les œufs, les amandes </w:t>
                                    </w:r>
                                    <w:r w:rsidRPr="00D06C84">
                                      <w:rPr>
                                        <w:rFonts w:ascii="Helvetica" w:eastAsia="Times New Roman" w:hAnsi="Helvetica" w:cs="Helvetica"/>
                                        <w:color w:val="606060"/>
                                        <w:sz w:val="20"/>
                                        <w:szCs w:val="20"/>
                                        <w:lang w:eastAsia="fr-CA"/>
                                      </w:rPr>
                                      <w:lastRenderedPageBreak/>
                                      <w:t>et les noix de cajou. Il ne faut donc pas hésiter à en faire consommer.</w:t>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color w:val="606060"/>
                                        <w:sz w:val="20"/>
                                        <w:szCs w:val="20"/>
                                        <w:lang w:eastAsia="fr-CA"/>
                                      </w:rPr>
                                      <w:br/>
                                      <w:t xml:space="preserve">L’efficacité du </w:t>
                                    </w:r>
                                    <w:proofErr w:type="spellStart"/>
                                    <w:r w:rsidRPr="00D06C84">
                                      <w:rPr>
                                        <w:rFonts w:ascii="Helvetica" w:eastAsia="Times New Roman" w:hAnsi="Helvetica" w:cs="Helvetica"/>
                                        <w:color w:val="606060"/>
                                        <w:sz w:val="20"/>
                                        <w:szCs w:val="20"/>
                                        <w:lang w:eastAsia="fr-CA"/>
                                      </w:rPr>
                                      <w:t>GingkoBiloba</w:t>
                                    </w:r>
                                    <w:proofErr w:type="spellEnd"/>
                                    <w:r w:rsidRPr="00D06C84">
                                      <w:rPr>
                                        <w:rFonts w:ascii="Helvetica" w:eastAsia="Times New Roman" w:hAnsi="Helvetica" w:cs="Helvetica"/>
                                        <w:color w:val="606060"/>
                                        <w:sz w:val="20"/>
                                        <w:szCs w:val="20"/>
                                        <w:lang w:eastAsia="fr-CA"/>
                                      </w:rPr>
                                      <w:t xml:space="preserve"> et du millepertuis est reconnue pour améliorer l’attention et réduire l’hyperactivité, mais il faut toutefois s’informer des effets secondaires possibles. Il existe d’autres suppléments alimentaires, </w:t>
                                    </w:r>
                                    <w:proofErr w:type="spellStart"/>
                                    <w:r w:rsidRPr="00D06C84">
                                      <w:rPr>
                                        <w:rFonts w:ascii="Helvetica" w:eastAsia="Times New Roman" w:hAnsi="Helvetica" w:cs="Helvetica"/>
                                        <w:color w:val="606060"/>
                                        <w:sz w:val="20"/>
                                        <w:szCs w:val="20"/>
                                        <w:lang w:eastAsia="fr-CA"/>
                                      </w:rPr>
                                      <w:t>multivitamines</w:t>
                                    </w:r>
                                    <w:proofErr w:type="spellEnd"/>
                                    <w:r w:rsidRPr="00D06C84">
                                      <w:rPr>
                                        <w:rFonts w:ascii="Helvetica" w:eastAsia="Times New Roman" w:hAnsi="Helvetica" w:cs="Helvetica"/>
                                        <w:color w:val="606060"/>
                                        <w:sz w:val="20"/>
                                        <w:szCs w:val="20"/>
                                        <w:lang w:eastAsia="fr-CA"/>
                                      </w:rPr>
                                      <w:t xml:space="preserve"> et produits homéopathiques pour aider le TDA/H. Intéressez-vous au fer, aux acides aminés, aux acides organiques, au calcium, au magnésium, au </w:t>
                                    </w:r>
                                    <w:proofErr w:type="spellStart"/>
                                    <w:r w:rsidRPr="00D06C84">
                                      <w:rPr>
                                        <w:rFonts w:ascii="Helvetica" w:eastAsia="Times New Roman" w:hAnsi="Helvetica" w:cs="Helvetica"/>
                                        <w:color w:val="606060"/>
                                        <w:sz w:val="20"/>
                                        <w:szCs w:val="20"/>
                                        <w:lang w:eastAsia="fr-CA"/>
                                      </w:rPr>
                                      <w:t>pycnogenol</w:t>
                                    </w:r>
                                    <w:proofErr w:type="spellEnd"/>
                                    <w:r w:rsidRPr="00D06C84">
                                      <w:rPr>
                                        <w:rFonts w:ascii="Helvetica" w:eastAsia="Times New Roman" w:hAnsi="Helvetica" w:cs="Helvetica"/>
                                        <w:color w:val="606060"/>
                                        <w:sz w:val="20"/>
                                        <w:szCs w:val="20"/>
                                        <w:lang w:eastAsia="fr-CA"/>
                                      </w:rPr>
                                      <w:t xml:space="preserve"> et aux vitamines B complexe ainsi que B3 et B6.</w:t>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b/>
                                        <w:bCs/>
                                        <w:color w:val="606060"/>
                                        <w:sz w:val="20"/>
                                        <w:szCs w:val="20"/>
                                        <w:u w:val="single"/>
                                        <w:lang w:eastAsia="fr-CA"/>
                                      </w:rPr>
                                      <w:t>L’activité physique</w:t>
                                    </w:r>
                                    <w:r w:rsidRPr="00D06C84">
                                      <w:rPr>
                                        <w:rFonts w:ascii="Helvetica" w:eastAsia="Times New Roman" w:hAnsi="Helvetica" w:cs="Helvetica"/>
                                        <w:color w:val="606060"/>
                                        <w:sz w:val="20"/>
                                        <w:szCs w:val="20"/>
                                        <w:lang w:eastAsia="fr-CA"/>
                                      </w:rPr>
                                      <w:br/>
                                      <w:t>L’exercice physique, en plus d’améliorer l’estime de soi et évacuer un trop plein d’émotions,  agit à titre de régulateur au niveau de la chimie du cerveau. Privilégier des activités qui demandent de la coordination ou de se concentrer pour effectuer les mouvements tes que les arts martiaux, le yoga, le tai-chi ou la danse. Dans la mesure où la personne atteinte de TDA/H a un besoin constant de bouger, il est possible de s’asseoir sur un ballon de type Pilate, sur une chaise à un seul pied ou un coussin adapté tel que « disc-o-</w:t>
                                    </w:r>
                                    <w:proofErr w:type="spellStart"/>
                                    <w:r w:rsidRPr="00D06C84">
                                      <w:rPr>
                                        <w:rFonts w:ascii="Helvetica" w:eastAsia="Times New Roman" w:hAnsi="Helvetica" w:cs="Helvetica"/>
                                        <w:color w:val="606060"/>
                                        <w:sz w:val="20"/>
                                        <w:szCs w:val="20"/>
                                        <w:lang w:eastAsia="fr-CA"/>
                                      </w:rPr>
                                      <w:t>sit</w:t>
                                    </w:r>
                                    <w:proofErr w:type="spellEnd"/>
                                    <w:r w:rsidRPr="00D06C84">
                                      <w:rPr>
                                        <w:rFonts w:ascii="Helvetica" w:eastAsia="Times New Roman" w:hAnsi="Helvetica" w:cs="Helvetica"/>
                                        <w:color w:val="606060"/>
                                        <w:sz w:val="20"/>
                                        <w:szCs w:val="20"/>
                                        <w:lang w:eastAsia="fr-CA"/>
                                      </w:rPr>
                                      <w:t> » qui oblige la personne à fournir un petit effort pour rester en équilibre.</w:t>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b/>
                                        <w:bCs/>
                                        <w:color w:val="606060"/>
                                        <w:sz w:val="20"/>
                                        <w:szCs w:val="20"/>
                                        <w:u w:val="single"/>
                                        <w:lang w:eastAsia="fr-CA"/>
                                      </w:rPr>
                                      <w:t>Thérapies</w:t>
                                    </w:r>
                                    <w:r w:rsidRPr="00D06C84">
                                      <w:rPr>
                                        <w:rFonts w:ascii="Helvetica" w:eastAsia="Times New Roman" w:hAnsi="Helvetica" w:cs="Helvetica"/>
                                        <w:color w:val="606060"/>
                                        <w:sz w:val="20"/>
                                        <w:szCs w:val="20"/>
                                        <w:lang w:eastAsia="fr-CA"/>
                                      </w:rPr>
                                      <w:br/>
                                      <w:t xml:space="preserve">Les approches thérapeutiques </w:t>
                                    </w:r>
                                    <w:proofErr w:type="spellStart"/>
                                    <w:r w:rsidRPr="00D06C84">
                                      <w:rPr>
                                        <w:rFonts w:ascii="Helvetica" w:eastAsia="Times New Roman" w:hAnsi="Helvetica" w:cs="Helvetica"/>
                                        <w:color w:val="606060"/>
                                        <w:sz w:val="20"/>
                                        <w:szCs w:val="20"/>
                                        <w:lang w:eastAsia="fr-CA"/>
                                      </w:rPr>
                                      <w:t>cognitivo-behaviourale</w:t>
                                    </w:r>
                                    <w:proofErr w:type="spellEnd"/>
                                    <w:r w:rsidRPr="00D06C84">
                                      <w:rPr>
                                        <w:rFonts w:ascii="Helvetica" w:eastAsia="Times New Roman" w:hAnsi="Helvetica" w:cs="Helvetica"/>
                                        <w:color w:val="606060"/>
                                        <w:sz w:val="20"/>
                                        <w:szCs w:val="20"/>
                                        <w:lang w:eastAsia="fr-CA"/>
                                      </w:rPr>
                                      <w:t xml:space="preserve"> ou psychosomatiques ont de bons </w:t>
                                    </w:r>
                                    <w:proofErr w:type="spellStart"/>
                                    <w:r w:rsidRPr="00D06C84">
                                      <w:rPr>
                                        <w:rFonts w:ascii="Helvetica" w:eastAsia="Times New Roman" w:hAnsi="Helvetica" w:cs="Helvetica"/>
                                        <w:color w:val="606060"/>
                                        <w:sz w:val="20"/>
                                        <w:szCs w:val="20"/>
                                        <w:lang w:eastAsia="fr-CA"/>
                                      </w:rPr>
                                      <w:t>résultats.Privilégié</w:t>
                                    </w:r>
                                    <w:proofErr w:type="spellEnd"/>
                                    <w:r w:rsidRPr="00D06C84">
                                      <w:rPr>
                                        <w:rFonts w:ascii="Helvetica" w:eastAsia="Times New Roman" w:hAnsi="Helvetica" w:cs="Helvetica"/>
                                        <w:color w:val="606060"/>
                                        <w:sz w:val="20"/>
                                        <w:szCs w:val="20"/>
                                        <w:lang w:eastAsia="fr-CA"/>
                                      </w:rPr>
                                      <w:t xml:space="preserve"> « un thérapeute qui connaît très bien d’autres approches alternatives telles que la méditation, les techniques de stimulation auditive et la </w:t>
                                    </w:r>
                                    <w:proofErr w:type="spellStart"/>
                                    <w:r w:rsidRPr="00D06C84">
                                      <w:rPr>
                                        <w:rFonts w:ascii="Helvetica" w:eastAsia="Times New Roman" w:hAnsi="Helvetica" w:cs="Helvetica"/>
                                        <w:color w:val="606060"/>
                                        <w:sz w:val="20"/>
                                        <w:szCs w:val="20"/>
                                        <w:lang w:eastAsia="fr-CA"/>
                                      </w:rPr>
                                      <w:t>biorétroaction</w:t>
                                    </w:r>
                                    <w:proofErr w:type="spellEnd"/>
                                    <w:r w:rsidRPr="00D06C84">
                                      <w:rPr>
                                        <w:rFonts w:ascii="Helvetica" w:eastAsia="Times New Roman" w:hAnsi="Helvetica" w:cs="Helvetica"/>
                                        <w:color w:val="606060"/>
                                        <w:sz w:val="20"/>
                                        <w:szCs w:val="20"/>
                                        <w:lang w:eastAsia="fr-CA"/>
                                      </w:rPr>
                                      <w:t>, des techniques ayant prouvé leur efficacité pour les problèmes d’attention. »</w:t>
                                    </w:r>
                                    <w:r w:rsidRPr="00D06C84">
                                      <w:rPr>
                                        <w:rFonts w:ascii="Helvetica" w:eastAsia="Times New Roman" w:hAnsi="Helvetica" w:cs="Helvetica"/>
                                        <w:color w:val="606060"/>
                                        <w:sz w:val="20"/>
                                        <w:szCs w:val="20"/>
                                        <w:vertAlign w:val="superscript"/>
                                        <w:lang w:eastAsia="fr-CA"/>
                                      </w:rPr>
                                      <w:t>5</w:t>
                                    </w:r>
                                    <w:r w:rsidRPr="00D06C84">
                                      <w:rPr>
                                        <w:rFonts w:ascii="Helvetica" w:eastAsia="Times New Roman" w:hAnsi="Helvetica" w:cs="Helvetica"/>
                                        <w:color w:val="606060"/>
                                        <w:sz w:val="20"/>
                                        <w:szCs w:val="20"/>
                                        <w:lang w:eastAsia="fr-CA"/>
                                      </w:rPr>
                                      <w:t xml:space="preserve">Bien entendu, il est intéressant de s’assurer qu’il connaît cette condition et qu’il sait comment aborder </w:t>
                                    </w:r>
                                    <w:proofErr w:type="gramStart"/>
                                    <w:r w:rsidRPr="00D06C84">
                                      <w:rPr>
                                        <w:rFonts w:ascii="Helvetica" w:eastAsia="Times New Roman" w:hAnsi="Helvetica" w:cs="Helvetica"/>
                                        <w:color w:val="606060"/>
                                        <w:sz w:val="20"/>
                                        <w:szCs w:val="20"/>
                                        <w:lang w:eastAsia="fr-CA"/>
                                      </w:rPr>
                                      <w:t>les enfants si tel</w:t>
                                    </w:r>
                                    <w:proofErr w:type="gramEnd"/>
                                    <w:r w:rsidRPr="00D06C84">
                                      <w:rPr>
                                        <w:rFonts w:ascii="Helvetica" w:eastAsia="Times New Roman" w:hAnsi="Helvetica" w:cs="Helvetica"/>
                                        <w:color w:val="606060"/>
                                        <w:sz w:val="20"/>
                                        <w:szCs w:val="20"/>
                                        <w:lang w:eastAsia="fr-CA"/>
                                      </w:rPr>
                                      <w:t xml:space="preserve"> est le cas.</w:t>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b/>
                                        <w:bCs/>
                                        <w:color w:val="606060"/>
                                        <w:sz w:val="20"/>
                                        <w:szCs w:val="20"/>
                                        <w:u w:val="single"/>
                                        <w:lang w:eastAsia="fr-CA"/>
                                      </w:rPr>
                                      <w:t>Conseils pour la maison </w:t>
                                    </w:r>
                                    <w:proofErr w:type="gramStart"/>
                                    <w:r w:rsidRPr="00D06C84">
                                      <w:rPr>
                                        <w:rFonts w:ascii="Helvetica" w:eastAsia="Times New Roman" w:hAnsi="Helvetica" w:cs="Helvetica"/>
                                        <w:b/>
                                        <w:bCs/>
                                        <w:color w:val="606060"/>
                                        <w:sz w:val="20"/>
                                        <w:szCs w:val="20"/>
                                        <w:u w:val="single"/>
                                        <w:lang w:eastAsia="fr-CA"/>
                                      </w:rPr>
                                      <w:t>:</w:t>
                                    </w:r>
                                    <w:proofErr w:type="gramEnd"/>
                                    <w:r w:rsidRPr="00D06C84">
                                      <w:rPr>
                                        <w:rFonts w:ascii="Helvetica" w:eastAsia="Times New Roman" w:hAnsi="Helvetica" w:cs="Helvetica"/>
                                        <w:color w:val="606060"/>
                                        <w:sz w:val="20"/>
                                        <w:szCs w:val="20"/>
                                        <w:lang w:eastAsia="fr-CA"/>
                                      </w:rPr>
                                      <w:br/>
                                      <w:t>Instaurez une routine,  préparez des listes de tâches rayables, fragmenter les projets en petites étapes simples sont des petits trucs pour aider une personne aux prises avec un trouble d’attention. Dans le cas d’un enfant, limiter autant que possible les distractions sonores telles que la sonnerie du téléphone, la télévision ou la radio lors de la période des devoirs et des leçons. Il est également possible de se procurer un coussin lourd, souvent en forme de lézard, que l’enfant peut placer</w:t>
                                    </w:r>
                                    <w:r>
                                      <w:rPr>
                                        <w:rFonts w:ascii="Helvetica" w:eastAsia="Times New Roman" w:hAnsi="Helvetica" w:cs="Helvetica"/>
                                        <w:color w:val="606060"/>
                                        <w:sz w:val="20"/>
                                        <w:szCs w:val="20"/>
                                        <w:lang w:eastAsia="fr-CA"/>
                                      </w:rPr>
                                      <w:t xml:space="preserve"> sur lui pour être plus calme.</w:t>
                                    </w:r>
                                  </w:p>
                                  <w:p w:rsidR="00D06C84" w:rsidRPr="00D06C84" w:rsidRDefault="00D06C84" w:rsidP="00D06C84">
                                    <w:pPr>
                                      <w:spacing w:after="0" w:line="240" w:lineRule="auto"/>
                                      <w:rPr>
                                        <w:rFonts w:ascii="Helvetica" w:eastAsia="Times New Roman" w:hAnsi="Helvetica" w:cs="Helvetica"/>
                                        <w:color w:val="606060"/>
                                        <w:sz w:val="23"/>
                                        <w:szCs w:val="23"/>
                                        <w:lang w:eastAsia="fr-CA"/>
                                      </w:rPr>
                                    </w:pPr>
                                    <w:proofErr w:type="spellStart"/>
                                    <w:r w:rsidRPr="00D06C84">
                                      <w:rPr>
                                        <w:rFonts w:ascii="Helvetica" w:eastAsia="Times New Roman" w:hAnsi="Helvetica" w:cs="Helvetica"/>
                                        <w:color w:val="606060"/>
                                        <w:sz w:val="20"/>
                                        <w:szCs w:val="20"/>
                                        <w:lang w:eastAsia="fr-CA"/>
                                      </w:rPr>
                                      <w:t>Chiropratiquement</w:t>
                                    </w:r>
                                    <w:proofErr w:type="spellEnd"/>
                                    <w:r w:rsidRPr="00D06C84">
                                      <w:rPr>
                                        <w:rFonts w:ascii="Helvetica" w:eastAsia="Times New Roman" w:hAnsi="Helvetica" w:cs="Helvetica"/>
                                        <w:color w:val="606060"/>
                                        <w:sz w:val="20"/>
                                        <w:szCs w:val="20"/>
                                        <w:lang w:eastAsia="fr-CA"/>
                                      </w:rPr>
                                      <w:t xml:space="preserve"> vôtre, </w:t>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color w:val="606060"/>
                                        <w:sz w:val="20"/>
                                        <w:szCs w:val="20"/>
                                        <w:lang w:eastAsia="fr-CA"/>
                                      </w:rPr>
                                      <w:br/>
                                    </w:r>
                                    <w:r w:rsidRPr="00D06C84">
                                      <w:rPr>
                                        <w:rFonts w:ascii="Helvetica" w:eastAsia="Times New Roman" w:hAnsi="Helvetica" w:cs="Helvetica"/>
                                        <w:b/>
                                        <w:bCs/>
                                        <w:color w:val="606060"/>
                                        <w:sz w:val="20"/>
                                        <w:szCs w:val="20"/>
                                        <w:lang w:eastAsia="fr-CA"/>
                                      </w:rPr>
                                      <w:t>Dr Pascal Paquet, chiropraticien, D.C</w:t>
                                    </w:r>
                                    <w:proofErr w:type="gramStart"/>
                                    <w:r w:rsidRPr="00D06C84">
                                      <w:rPr>
                                        <w:rFonts w:ascii="Helvetica" w:eastAsia="Times New Roman" w:hAnsi="Helvetica" w:cs="Helvetica"/>
                                        <w:b/>
                                        <w:bCs/>
                                        <w:color w:val="606060"/>
                                        <w:sz w:val="20"/>
                                        <w:szCs w:val="20"/>
                                        <w:lang w:eastAsia="fr-CA"/>
                                      </w:rPr>
                                      <w:t>.</w:t>
                                    </w:r>
                                    <w:proofErr w:type="gramEnd"/>
                                    <w:r w:rsidRPr="00D06C84">
                                      <w:rPr>
                                        <w:rFonts w:ascii="Helvetica" w:eastAsia="Times New Roman" w:hAnsi="Helvetica" w:cs="Helvetica"/>
                                        <w:b/>
                                        <w:bCs/>
                                        <w:color w:val="606060"/>
                                        <w:sz w:val="20"/>
                                        <w:szCs w:val="20"/>
                                        <w:lang w:eastAsia="fr-CA"/>
                                      </w:rPr>
                                      <w:br/>
                                    </w:r>
                                    <w:r w:rsidRPr="00D06C84">
                                      <w:rPr>
                                        <w:rFonts w:ascii="Helvetica" w:eastAsia="Times New Roman" w:hAnsi="Helvetica" w:cs="Helvetica"/>
                                        <w:b/>
                                        <w:bCs/>
                                        <w:i/>
                                        <w:iCs/>
                                        <w:color w:val="606060"/>
                                        <w:sz w:val="20"/>
                                        <w:szCs w:val="20"/>
                                        <w:lang w:eastAsia="fr-CA"/>
                                      </w:rPr>
                                      <w:t>Clinique Solution Santé Chiropratique Inc.</w:t>
                                    </w:r>
                                    <w:r w:rsidRPr="00D06C84">
                                      <w:rPr>
                                        <w:rFonts w:ascii="Helvetica" w:eastAsia="Times New Roman" w:hAnsi="Helvetica" w:cs="Helvetica"/>
                                        <w:color w:val="606060"/>
                                        <w:sz w:val="20"/>
                                        <w:szCs w:val="20"/>
                                        <w:lang w:eastAsia="fr-CA"/>
                                      </w:rPr>
                                      <w:br/>
                                      <w:t>1100 Crémazie Est, bureau 100</w:t>
                                    </w:r>
                                    <w:r w:rsidRPr="00D06C84">
                                      <w:rPr>
                                        <w:rFonts w:ascii="Helvetica" w:eastAsia="Times New Roman" w:hAnsi="Helvetica" w:cs="Helvetica"/>
                                        <w:color w:val="606060"/>
                                        <w:sz w:val="20"/>
                                        <w:szCs w:val="20"/>
                                        <w:lang w:eastAsia="fr-CA"/>
                                      </w:rPr>
                                      <w:br/>
                                      <w:t>Montréal, QC, H2P2X2</w:t>
                                    </w:r>
                                    <w:r w:rsidRPr="00D06C84">
                                      <w:rPr>
                                        <w:rFonts w:ascii="Helvetica" w:eastAsia="Times New Roman" w:hAnsi="Helvetica" w:cs="Helvetica"/>
                                        <w:color w:val="606060"/>
                                        <w:sz w:val="20"/>
                                        <w:szCs w:val="20"/>
                                        <w:lang w:eastAsia="fr-CA"/>
                                      </w:rPr>
                                      <w:br/>
                                      <w:t>Téléphone bureau: 514-723-2424</w:t>
                                    </w:r>
                                    <w:r w:rsidRPr="00D06C84">
                                      <w:rPr>
                                        <w:rFonts w:ascii="Helvetica" w:eastAsia="Times New Roman" w:hAnsi="Helvetica" w:cs="Helvetica"/>
                                        <w:color w:val="606060"/>
                                        <w:sz w:val="20"/>
                                        <w:szCs w:val="20"/>
                                        <w:lang w:eastAsia="fr-CA"/>
                                      </w:rPr>
                                      <w:br/>
                                    </w:r>
                                    <w:hyperlink r:id="rId8" w:tgtFrame="_blank" w:history="1">
                                      <w:r w:rsidRPr="00D06C84">
                                        <w:rPr>
                                          <w:rFonts w:ascii="Helvetica" w:eastAsia="Times New Roman" w:hAnsi="Helvetica" w:cs="Helvetica"/>
                                          <w:color w:val="084C9E"/>
                                          <w:sz w:val="20"/>
                                          <w:szCs w:val="20"/>
                                          <w:u w:val="single"/>
                                          <w:lang w:eastAsia="fr-CA"/>
                                        </w:rPr>
                                        <w:t>http://www.cliniquesolutionsante.com/</w:t>
                                      </w:r>
                                    </w:hyperlink>
                                    <w:r w:rsidRPr="00D06C84">
                                      <w:rPr>
                                        <w:rFonts w:ascii="Helvetica" w:eastAsia="Times New Roman" w:hAnsi="Helvetica" w:cs="Helvetica"/>
                                        <w:color w:val="606060"/>
                                        <w:sz w:val="23"/>
                                        <w:szCs w:val="23"/>
                                        <w:lang w:eastAsia="fr-CA"/>
                                      </w:rPr>
                                      <w:br/>
                                      <w:t> </w:t>
                                    </w:r>
                                  </w:p>
                                  <w:p w:rsidR="00D06C84" w:rsidRPr="00D06C84" w:rsidRDefault="00D06C84" w:rsidP="00D06C84">
                                    <w:pPr>
                                      <w:spacing w:after="0" w:line="240" w:lineRule="auto"/>
                                      <w:rPr>
                                        <w:rFonts w:ascii="Helvetica" w:eastAsia="Times New Roman" w:hAnsi="Helvetica" w:cs="Helvetica"/>
                                        <w:color w:val="606060"/>
                                        <w:sz w:val="23"/>
                                        <w:szCs w:val="23"/>
                                        <w:lang w:eastAsia="fr-CA"/>
                                      </w:rPr>
                                    </w:pPr>
                                    <w:r w:rsidRPr="00D06C84">
                                      <w:rPr>
                                        <w:rFonts w:ascii="Helvetica" w:eastAsia="Times New Roman" w:hAnsi="Helvetica" w:cs="Helvetica"/>
                                        <w:color w:val="606060"/>
                                        <w:sz w:val="23"/>
                                        <w:szCs w:val="23"/>
                                        <w:lang w:eastAsia="fr-CA"/>
                                      </w:rPr>
                                      <w:pict>
                                        <v:rect id="_x0000_i1034" style="width:0;height:1.5pt" o:hralign="center" o:hrstd="t" o:hr="t" fillcolor="#a0a0a0" stroked="f"/>
                                      </w:pict>
                                    </w:r>
                                  </w:p>
                                  <w:p w:rsidR="00D06C84" w:rsidRPr="00D06C84" w:rsidRDefault="00D06C84" w:rsidP="00D06C84">
                                    <w:pPr>
                                      <w:spacing w:after="0" w:line="240" w:lineRule="auto"/>
                                      <w:rPr>
                                        <w:rFonts w:ascii="Helvetica" w:eastAsia="Times New Roman" w:hAnsi="Helvetica" w:cs="Helvetica"/>
                                        <w:color w:val="606060"/>
                                        <w:sz w:val="12"/>
                                        <w:szCs w:val="12"/>
                                        <w:lang w:eastAsia="fr-CA"/>
                                      </w:rPr>
                                    </w:pPr>
                                    <w:r w:rsidRPr="00D06C84">
                                      <w:rPr>
                                        <w:rFonts w:ascii="Helvetica" w:eastAsia="Times New Roman" w:hAnsi="Helvetica" w:cs="Helvetica"/>
                                        <w:b/>
                                        <w:bCs/>
                                        <w:color w:val="606060"/>
                                        <w:sz w:val="12"/>
                                        <w:szCs w:val="12"/>
                                        <w:lang w:eastAsia="fr-CA"/>
                                      </w:rPr>
                                      <w:t>Sources et références :</w:t>
                                    </w:r>
                                    <w:r w:rsidRPr="00D06C84">
                                      <w:rPr>
                                        <w:rFonts w:ascii="Helvetica" w:eastAsia="Times New Roman" w:hAnsi="Helvetica" w:cs="Helvetica"/>
                                        <w:color w:val="606060"/>
                                        <w:sz w:val="12"/>
                                        <w:szCs w:val="12"/>
                                        <w:lang w:eastAsia="fr-CA"/>
                                      </w:rPr>
                                      <w:br/>
                                    </w:r>
                                    <w:hyperlink r:id="rId9" w:history="1">
                                      <w:r w:rsidRPr="00D06C84">
                                        <w:rPr>
                                          <w:rFonts w:ascii="Helvetica" w:eastAsia="Times New Roman" w:hAnsi="Helvetica" w:cs="Helvetica"/>
                                          <w:color w:val="084C9E"/>
                                          <w:sz w:val="12"/>
                                          <w:szCs w:val="12"/>
                                          <w:u w:val="single"/>
                                          <w:lang w:eastAsia="fr-CA"/>
                                        </w:rPr>
                                        <w:t>http://www.cerc-neuropsy.com/produits/outils-pour-le-tdah</w:t>
                                      </w:r>
                                    </w:hyperlink>
                                    <w:r w:rsidRPr="00D06C84">
                                      <w:rPr>
                                        <w:rFonts w:ascii="Helvetica" w:eastAsia="Times New Roman" w:hAnsi="Helvetica" w:cs="Helvetica"/>
                                        <w:color w:val="606060"/>
                                        <w:sz w:val="12"/>
                                        <w:szCs w:val="12"/>
                                        <w:lang w:eastAsia="fr-CA"/>
                                      </w:rPr>
                                      <w:br/>
                                    </w:r>
                                    <w:hyperlink r:id="rId10" w:history="1">
                                      <w:r w:rsidRPr="00D06C84">
                                        <w:rPr>
                                          <w:rFonts w:ascii="Helvetica" w:eastAsia="Times New Roman" w:hAnsi="Helvetica" w:cs="Helvetica"/>
                                          <w:color w:val="084C9E"/>
                                          <w:sz w:val="12"/>
                                          <w:szCs w:val="12"/>
                                          <w:u w:val="single"/>
                                          <w:lang w:eastAsia="fr-CA"/>
                                        </w:rPr>
                                        <w:t>http://www.laviechiropratique.com/alternatives-naturelles-pour-les-troubles-de-deficit-de-lattentionhyperactivite-2/</w:t>
                                      </w:r>
                                    </w:hyperlink>
                                    <w:r w:rsidRPr="00D06C84">
                                      <w:rPr>
                                        <w:rFonts w:ascii="Helvetica" w:eastAsia="Times New Roman" w:hAnsi="Helvetica" w:cs="Helvetica"/>
                                        <w:color w:val="606060"/>
                                        <w:sz w:val="12"/>
                                        <w:szCs w:val="12"/>
                                        <w:u w:val="single"/>
                                        <w:lang w:eastAsia="fr-CA"/>
                                      </w:rPr>
                                      <w:t>(2 et 5)</w:t>
                                    </w:r>
                                    <w:r w:rsidRPr="00D06C84">
                                      <w:rPr>
                                        <w:rFonts w:ascii="Helvetica" w:eastAsia="Times New Roman" w:hAnsi="Helvetica" w:cs="Helvetica"/>
                                        <w:color w:val="606060"/>
                                        <w:sz w:val="12"/>
                                        <w:szCs w:val="12"/>
                                        <w:lang w:eastAsia="fr-CA"/>
                                      </w:rPr>
                                      <w:br/>
                                    </w:r>
                                    <w:hyperlink r:id="rId11" w:history="1">
                                      <w:r w:rsidRPr="00D06C84">
                                        <w:rPr>
                                          <w:rFonts w:ascii="Helvetica" w:eastAsia="Times New Roman" w:hAnsi="Helvetica" w:cs="Helvetica"/>
                                          <w:color w:val="084C9E"/>
                                          <w:sz w:val="12"/>
                                          <w:szCs w:val="12"/>
                                          <w:u w:val="single"/>
                                          <w:lang w:eastAsia="fr-CA"/>
                                        </w:rPr>
                                        <w:t>http://www.neosante.org/comment-naturellement-a04340447.htm</w:t>
                                      </w:r>
                                    </w:hyperlink>
                                    <w:r w:rsidRPr="00D06C84">
                                      <w:rPr>
                                        <w:rFonts w:ascii="Helvetica" w:eastAsia="Times New Roman" w:hAnsi="Helvetica" w:cs="Helvetica"/>
                                        <w:color w:val="606060"/>
                                        <w:sz w:val="12"/>
                                        <w:szCs w:val="12"/>
                                        <w:u w:val="single"/>
                                        <w:lang w:eastAsia="fr-CA"/>
                                      </w:rPr>
                                      <w:t> (1)</w:t>
                                    </w:r>
                                    <w:r w:rsidRPr="00D06C84">
                                      <w:rPr>
                                        <w:rFonts w:ascii="Helvetica" w:eastAsia="Times New Roman" w:hAnsi="Helvetica" w:cs="Helvetica"/>
                                        <w:color w:val="606060"/>
                                        <w:sz w:val="12"/>
                                        <w:szCs w:val="12"/>
                                        <w:lang w:eastAsia="fr-CA"/>
                                      </w:rPr>
                                      <w:br/>
                                    </w:r>
                                    <w:hyperlink r:id="rId12" w:history="1">
                                      <w:r w:rsidRPr="00D06C84">
                                        <w:rPr>
                                          <w:rFonts w:ascii="Helvetica" w:eastAsia="Times New Roman" w:hAnsi="Helvetica" w:cs="Helvetica"/>
                                          <w:color w:val="084C9E"/>
                                          <w:sz w:val="12"/>
                                          <w:szCs w:val="12"/>
                                          <w:u w:val="single"/>
                                          <w:lang w:eastAsia="fr-CA"/>
                                        </w:rPr>
                                        <w:t>http://sante.canoe.ca/channel_health_news_details.asp?channel_id=2001&amp;relation_id=3483&amp;news_channel_id=2001&amp;news_id=5482</w:t>
                                      </w:r>
                                    </w:hyperlink>
                                    <w:r w:rsidRPr="00D06C84">
                                      <w:rPr>
                                        <w:rFonts w:ascii="Helvetica" w:eastAsia="Times New Roman" w:hAnsi="Helvetica" w:cs="Helvetica"/>
                                        <w:color w:val="606060"/>
                                        <w:sz w:val="12"/>
                                        <w:szCs w:val="12"/>
                                        <w:u w:val="single"/>
                                        <w:lang w:eastAsia="fr-CA"/>
                                      </w:rPr>
                                      <w:t> (3)</w:t>
                                    </w:r>
                                    <w:r w:rsidRPr="00D06C84">
                                      <w:rPr>
                                        <w:rFonts w:ascii="Helvetica" w:eastAsia="Times New Roman" w:hAnsi="Helvetica" w:cs="Helvetica"/>
                                        <w:color w:val="606060"/>
                                        <w:sz w:val="12"/>
                                        <w:szCs w:val="12"/>
                                        <w:lang w:eastAsia="fr-CA"/>
                                      </w:rPr>
                                      <w:br/>
                                    </w:r>
                                    <w:hyperlink r:id="rId13" w:history="1">
                                      <w:r w:rsidRPr="00D06C84">
                                        <w:rPr>
                                          <w:rFonts w:ascii="Helvetica" w:eastAsia="Times New Roman" w:hAnsi="Helvetica" w:cs="Helvetica"/>
                                          <w:color w:val="084C9E"/>
                                          <w:sz w:val="12"/>
                                          <w:szCs w:val="12"/>
                                          <w:u w:val="single"/>
                                          <w:lang w:eastAsia="fr-CA"/>
                                        </w:rPr>
                                        <w:t>http://www.vision-sante.net/deficit_de_l_attention_hyperactivite_prevention.html</w:t>
                                      </w:r>
                                    </w:hyperlink>
                                    <w:r w:rsidRPr="00D06C84">
                                      <w:rPr>
                                        <w:rFonts w:ascii="Helvetica" w:eastAsia="Times New Roman" w:hAnsi="Helvetica" w:cs="Helvetica"/>
                                        <w:color w:val="606060"/>
                                        <w:sz w:val="12"/>
                                        <w:szCs w:val="12"/>
                                        <w:u w:val="single"/>
                                        <w:lang w:eastAsia="fr-CA"/>
                                      </w:rPr>
                                      <w:t> (4)</w:t>
                                    </w:r>
                                    <w:r w:rsidRPr="00D06C84">
                                      <w:rPr>
                                        <w:rFonts w:ascii="Helvetica" w:eastAsia="Times New Roman" w:hAnsi="Helvetica" w:cs="Helvetica"/>
                                        <w:color w:val="606060"/>
                                        <w:sz w:val="12"/>
                                        <w:szCs w:val="12"/>
                                        <w:lang w:eastAsia="fr-CA"/>
                                      </w:rPr>
                                      <w:br/>
                                    </w:r>
                                    <w:r w:rsidRPr="00D06C84">
                                      <w:rPr>
                                        <w:rFonts w:ascii="Helvetica" w:eastAsia="Times New Roman" w:hAnsi="Helvetica" w:cs="Helvetica"/>
                                        <w:i/>
                                        <w:iCs/>
                                        <w:color w:val="606060"/>
                                        <w:sz w:val="12"/>
                                        <w:szCs w:val="12"/>
                                        <w:lang w:eastAsia="fr-CA"/>
                                      </w:rPr>
                                      <w:t>Image : </w:t>
                                    </w:r>
                                    <w:hyperlink r:id="rId14" w:history="1">
                                      <w:r w:rsidRPr="00D06C84">
                                        <w:rPr>
                                          <w:rFonts w:ascii="Helvetica" w:eastAsia="Times New Roman" w:hAnsi="Helvetica" w:cs="Helvetica"/>
                                          <w:i/>
                                          <w:iCs/>
                                          <w:color w:val="3366CC"/>
                                          <w:sz w:val="12"/>
                                          <w:szCs w:val="12"/>
                                          <w:u w:val="single"/>
                                          <w:lang w:eastAsia="fr-CA"/>
                                        </w:rPr>
                                        <w:t>http://pixabay.com/fr/seul-%C3%AAtre-seul-r%C3%A9ponses-arch%C3%A9type-62253/</w:t>
                                      </w:r>
                                    </w:hyperlink>
                                  </w:p>
                                </w:tc>
                              </w:tr>
                            </w:tbl>
                            <w:p w:rsidR="00D06C84" w:rsidRPr="00D06C84" w:rsidRDefault="00D06C84" w:rsidP="00D06C84">
                              <w:pPr>
                                <w:spacing w:after="0" w:line="240" w:lineRule="auto"/>
                                <w:rPr>
                                  <w:rFonts w:ascii="Times New Roman" w:eastAsia="Times New Roman" w:hAnsi="Times New Roman" w:cs="Times New Roman"/>
                                  <w:sz w:val="24"/>
                                  <w:szCs w:val="24"/>
                                  <w:lang w:eastAsia="fr-CA"/>
                                </w:rPr>
                              </w:pPr>
                            </w:p>
                          </w:tc>
                        </w:tr>
                      </w:tbl>
                      <w:p w:rsidR="00D06C84" w:rsidRPr="00D06C84" w:rsidRDefault="00D06C84" w:rsidP="00D06C84">
                        <w:pPr>
                          <w:spacing w:after="0" w:line="240" w:lineRule="auto"/>
                          <w:rPr>
                            <w:rFonts w:ascii="Times New Roman" w:eastAsia="Times New Roman" w:hAnsi="Times New Roman" w:cs="Times New Roman"/>
                            <w:sz w:val="24"/>
                            <w:szCs w:val="24"/>
                            <w:lang w:eastAsia="fr-CA"/>
                          </w:rPr>
                        </w:pPr>
                      </w:p>
                    </w:tc>
                  </w:tr>
                </w:tbl>
                <w:p w:rsidR="00D06C84" w:rsidRPr="00D06C84" w:rsidRDefault="00D06C84" w:rsidP="00D06C84">
                  <w:pPr>
                    <w:spacing w:after="0" w:line="240" w:lineRule="auto"/>
                    <w:jc w:val="center"/>
                    <w:rPr>
                      <w:rFonts w:ascii="Times New Roman" w:eastAsia="Times New Roman" w:hAnsi="Times New Roman" w:cs="Times New Roman"/>
                      <w:sz w:val="24"/>
                      <w:szCs w:val="24"/>
                      <w:lang w:eastAsia="fr-CA"/>
                    </w:rPr>
                  </w:pPr>
                </w:p>
              </w:tc>
            </w:tr>
          </w:tbl>
          <w:p w:rsidR="00D06C84" w:rsidRPr="00D06C84" w:rsidRDefault="00D06C84" w:rsidP="00D06C84">
            <w:pPr>
              <w:spacing w:after="0" w:line="240" w:lineRule="auto"/>
              <w:jc w:val="center"/>
              <w:rPr>
                <w:rFonts w:ascii="Times New Roman" w:eastAsia="Times New Roman" w:hAnsi="Times New Roman" w:cs="Times New Roman"/>
                <w:color w:val="000000"/>
                <w:sz w:val="27"/>
                <w:szCs w:val="27"/>
                <w:lang w:eastAsia="fr-CA"/>
              </w:rPr>
            </w:pPr>
          </w:p>
        </w:tc>
      </w:tr>
      <w:tr w:rsidR="00D06C84" w:rsidRPr="00D06C84" w:rsidTr="00D06C84">
        <w:tc>
          <w:tcPr>
            <w:tcW w:w="0" w:type="auto"/>
            <w:shd w:val="clear" w:color="auto" w:fill="F2F2F2"/>
            <w:hideMark/>
          </w:tcPr>
          <w:tbl>
            <w:tblPr>
              <w:tblW w:w="5000" w:type="pct"/>
              <w:jc w:val="center"/>
              <w:shd w:val="clear" w:color="auto" w:fill="F2F2F2"/>
              <w:tblCellMar>
                <w:left w:w="0" w:type="dxa"/>
                <w:right w:w="0" w:type="dxa"/>
              </w:tblCellMar>
              <w:tblLook w:val="04A0" w:firstRow="1" w:lastRow="0" w:firstColumn="1" w:lastColumn="0" w:noHBand="0" w:noVBand="1"/>
            </w:tblPr>
            <w:tblGrid>
              <w:gridCol w:w="10800"/>
            </w:tblGrid>
            <w:tr w:rsidR="00D06C84" w:rsidRPr="00D06C84">
              <w:trPr>
                <w:jc w:val="center"/>
              </w:trPr>
              <w:tc>
                <w:tcPr>
                  <w:tcW w:w="0" w:type="auto"/>
                  <w:shd w:val="clear" w:color="auto" w:fill="F2F2F2"/>
                  <w:hideMark/>
                </w:tcPr>
                <w:tbl>
                  <w:tblPr>
                    <w:tblW w:w="9000" w:type="dxa"/>
                    <w:jc w:val="center"/>
                    <w:tblCellMar>
                      <w:left w:w="0" w:type="dxa"/>
                      <w:right w:w="0" w:type="dxa"/>
                    </w:tblCellMar>
                    <w:tblLook w:val="04A0" w:firstRow="1" w:lastRow="0" w:firstColumn="1" w:lastColumn="0" w:noHBand="0" w:noVBand="1"/>
                  </w:tblPr>
                  <w:tblGrid>
                    <w:gridCol w:w="9000"/>
                  </w:tblGrid>
                  <w:tr w:rsidR="00D06C84" w:rsidRPr="00D06C84">
                    <w:trPr>
                      <w:jc w:val="center"/>
                    </w:trPr>
                    <w:tc>
                      <w:tcPr>
                        <w:tcW w:w="0" w:type="auto"/>
                        <w:tcMar>
                          <w:top w:w="150" w:type="dxa"/>
                          <w:left w:w="0" w:type="dxa"/>
                          <w:bottom w:w="15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06C84" w:rsidRPr="00D06C84">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D06C84" w:rsidRPr="00D06C84">
                                <w:tc>
                                  <w:tcPr>
                                    <w:tcW w:w="0" w:type="auto"/>
                                    <w:tcMar>
                                      <w:top w:w="135" w:type="dxa"/>
                                      <w:left w:w="270" w:type="dxa"/>
                                      <w:bottom w:w="135" w:type="dxa"/>
                                      <w:right w:w="270" w:type="dxa"/>
                                    </w:tcMar>
                                    <w:hideMark/>
                                  </w:tcPr>
                                  <w:p w:rsidR="00D06C84" w:rsidRPr="00D06C84" w:rsidRDefault="00D06C84" w:rsidP="00D06C84">
                                    <w:pPr>
                                      <w:spacing w:after="0" w:line="206" w:lineRule="atLeast"/>
                                      <w:rPr>
                                        <w:rFonts w:ascii="Helvetica" w:eastAsia="Times New Roman" w:hAnsi="Helvetica" w:cs="Helvetica"/>
                                        <w:color w:val="606060"/>
                                        <w:sz w:val="17"/>
                                        <w:szCs w:val="17"/>
                                        <w:lang w:eastAsia="fr-CA"/>
                                      </w:rPr>
                                    </w:pPr>
                                    <w:r w:rsidRPr="00D06C84">
                                      <w:rPr>
                                        <w:rFonts w:ascii="Helvetica" w:eastAsia="Times New Roman" w:hAnsi="Helvetica" w:cs="Helvetica"/>
                                        <w:i/>
                                        <w:iCs/>
                                        <w:color w:val="606060"/>
                                        <w:sz w:val="17"/>
                                        <w:szCs w:val="17"/>
                                        <w:lang w:eastAsia="fr-CA"/>
                                      </w:rPr>
                                      <w:lastRenderedPageBreak/>
                                      <w:t>Copyright © 2014 Clinique Solution Santé Chiropratique, Tout droit réservé.</w:t>
                                    </w:r>
                                    <w:r w:rsidRPr="00D06C84">
                                      <w:rPr>
                                        <w:rFonts w:ascii="Helvetica" w:eastAsia="Times New Roman" w:hAnsi="Helvetica" w:cs="Helvetica"/>
                                        <w:color w:val="606060"/>
                                        <w:sz w:val="17"/>
                                        <w:szCs w:val="17"/>
                                        <w:lang w:eastAsia="fr-CA"/>
                                      </w:rPr>
                                      <w:br/>
                                    </w:r>
                                    <w:r w:rsidRPr="00D06C84">
                                      <w:rPr>
                                        <w:rFonts w:ascii="Helvetica" w:eastAsia="Times New Roman" w:hAnsi="Helvetica" w:cs="Helvetica"/>
                                        <w:color w:val="606060"/>
                                        <w:sz w:val="17"/>
                                        <w:szCs w:val="17"/>
                                        <w:lang w:eastAsia="fr-CA"/>
                                      </w:rPr>
                                      <w:br/>
                                    </w:r>
                                    <w:r w:rsidRPr="00D06C84">
                                      <w:rPr>
                                        <w:rFonts w:ascii="Helvetica" w:eastAsia="Times New Roman" w:hAnsi="Helvetica" w:cs="Helvetica"/>
                                        <w:color w:val="606060"/>
                                        <w:sz w:val="17"/>
                                        <w:szCs w:val="17"/>
                                        <w:lang w:eastAsia="fr-CA"/>
                                      </w:rPr>
                                      <w:br/>
                                    </w:r>
                                    <w:r w:rsidRPr="00D06C84">
                                      <w:rPr>
                                        <w:rFonts w:ascii="Helvetica" w:eastAsia="Times New Roman" w:hAnsi="Helvetica" w:cs="Helvetica"/>
                                        <w:color w:val="606060"/>
                                        <w:sz w:val="17"/>
                                        <w:szCs w:val="17"/>
                                        <w:lang w:eastAsia="fr-CA"/>
                                      </w:rPr>
                                      <w:br/>
                                    </w:r>
                                    <w:hyperlink r:id="rId15" w:tgtFrame="_self" w:history="1">
                                      <w:r w:rsidRPr="00D06C84">
                                        <w:rPr>
                                          <w:rFonts w:ascii="Helvetica" w:eastAsia="Times New Roman" w:hAnsi="Helvetica" w:cs="Helvetica"/>
                                          <w:color w:val="606060"/>
                                          <w:sz w:val="17"/>
                                          <w:szCs w:val="17"/>
                                          <w:u w:val="single"/>
                                          <w:lang w:eastAsia="fr-CA"/>
                                        </w:rPr>
                                        <w:t>Désabonnement </w:t>
                                      </w:r>
                                    </w:hyperlink>
                                    <w:r w:rsidRPr="00D06C84">
                                      <w:rPr>
                                        <w:rFonts w:ascii="Helvetica" w:eastAsia="Times New Roman" w:hAnsi="Helvetica" w:cs="Helvetica"/>
                                        <w:color w:val="606060"/>
                                        <w:sz w:val="17"/>
                                        <w:szCs w:val="17"/>
                                        <w:lang w:eastAsia="fr-CA"/>
                                      </w:rPr>
                                      <w:t>   </w:t>
                                    </w:r>
                                    <w:hyperlink r:id="rId16" w:tgtFrame="_self" w:history="1">
                                      <w:r w:rsidRPr="00D06C84">
                                        <w:rPr>
                                          <w:rFonts w:ascii="Helvetica" w:eastAsia="Times New Roman" w:hAnsi="Helvetica" w:cs="Helvetica"/>
                                          <w:color w:val="606060"/>
                                          <w:sz w:val="17"/>
                                          <w:szCs w:val="17"/>
                                          <w:u w:val="single"/>
                                          <w:lang w:eastAsia="fr-CA"/>
                                        </w:rPr>
                                        <w:t>Mettre à jour mes préférences</w:t>
                                      </w:r>
                                    </w:hyperlink>
                                    <w:r w:rsidRPr="00D06C84">
                                      <w:rPr>
                                        <w:rFonts w:ascii="Helvetica" w:eastAsia="Times New Roman" w:hAnsi="Helvetica" w:cs="Helvetica"/>
                                        <w:color w:val="606060"/>
                                        <w:sz w:val="17"/>
                                        <w:szCs w:val="17"/>
                                        <w:lang w:eastAsia="fr-CA"/>
                                      </w:rPr>
                                      <w:t> </w:t>
                                    </w:r>
                                    <w:r w:rsidRPr="00D06C84">
                                      <w:rPr>
                                        <w:rFonts w:ascii="Helvetica" w:eastAsia="Times New Roman" w:hAnsi="Helvetica" w:cs="Helvetica"/>
                                        <w:color w:val="606060"/>
                                        <w:sz w:val="17"/>
                                        <w:szCs w:val="17"/>
                                        <w:lang w:eastAsia="fr-CA"/>
                                      </w:rPr>
                                      <w:br/>
                                    </w:r>
                                    <w:r w:rsidRPr="00D06C84">
                                      <w:rPr>
                                        <w:rFonts w:ascii="Helvetica" w:eastAsia="Times New Roman" w:hAnsi="Helvetica" w:cs="Helvetica"/>
                                        <w:color w:val="606060"/>
                                        <w:sz w:val="17"/>
                                        <w:szCs w:val="17"/>
                                        <w:lang w:eastAsia="fr-CA"/>
                                      </w:rPr>
                                      <w:br/>
                                    </w:r>
                                    <w:r>
                                      <w:rPr>
                                        <w:rFonts w:ascii="Helvetica" w:eastAsia="Times New Roman" w:hAnsi="Helvetica" w:cs="Helvetica"/>
                                        <w:noProof/>
                                        <w:color w:val="606060"/>
                                        <w:sz w:val="17"/>
                                        <w:szCs w:val="17"/>
                                        <w:lang w:eastAsia="fr-CA"/>
                                      </w:rPr>
                                      <w:drawing>
                                        <wp:inline distT="0" distB="0" distL="0" distR="0" wp14:anchorId="24283B23" wp14:editId="3671628A">
                                          <wp:extent cx="1323975" cy="514350"/>
                                          <wp:effectExtent l="0" t="0" r="9525" b="0"/>
                                          <wp:docPr id="1" name="Image 1" descr="Email Marketing Powered by MailChimp">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Marketing Powered by MailChimp">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3975" cy="514350"/>
                                                  </a:xfrm>
                                                  <a:prstGeom prst="rect">
                                                    <a:avLst/>
                                                  </a:prstGeom>
                                                  <a:noFill/>
                                                  <a:ln>
                                                    <a:noFill/>
                                                  </a:ln>
                                                </pic:spPr>
                                              </pic:pic>
                                            </a:graphicData>
                                          </a:graphic>
                                        </wp:inline>
                                      </w:drawing>
                                    </w:r>
                                  </w:p>
                                </w:tc>
                              </w:tr>
                            </w:tbl>
                            <w:p w:rsidR="00D06C84" w:rsidRPr="00D06C84" w:rsidRDefault="00D06C84" w:rsidP="00D06C84">
                              <w:pPr>
                                <w:spacing w:after="0" w:line="240" w:lineRule="auto"/>
                                <w:rPr>
                                  <w:rFonts w:ascii="Times New Roman" w:eastAsia="Times New Roman" w:hAnsi="Times New Roman" w:cs="Times New Roman"/>
                                  <w:sz w:val="24"/>
                                  <w:szCs w:val="24"/>
                                  <w:lang w:eastAsia="fr-CA"/>
                                </w:rPr>
                              </w:pPr>
                            </w:p>
                          </w:tc>
                        </w:tr>
                      </w:tbl>
                      <w:p w:rsidR="00D06C84" w:rsidRPr="00D06C84" w:rsidRDefault="00D06C84" w:rsidP="00D06C84">
                        <w:pPr>
                          <w:spacing w:after="0" w:line="240" w:lineRule="auto"/>
                          <w:rPr>
                            <w:rFonts w:ascii="Times New Roman" w:eastAsia="Times New Roman" w:hAnsi="Times New Roman" w:cs="Times New Roman"/>
                            <w:sz w:val="24"/>
                            <w:szCs w:val="24"/>
                            <w:lang w:eastAsia="fr-CA"/>
                          </w:rPr>
                        </w:pPr>
                      </w:p>
                    </w:tc>
                  </w:tr>
                </w:tbl>
                <w:p w:rsidR="00D06C84" w:rsidRPr="00D06C84" w:rsidRDefault="00D06C84" w:rsidP="00D06C84">
                  <w:pPr>
                    <w:spacing w:after="0" w:line="240" w:lineRule="auto"/>
                    <w:jc w:val="center"/>
                    <w:rPr>
                      <w:rFonts w:ascii="Times New Roman" w:eastAsia="Times New Roman" w:hAnsi="Times New Roman" w:cs="Times New Roman"/>
                      <w:sz w:val="24"/>
                      <w:szCs w:val="24"/>
                      <w:lang w:eastAsia="fr-CA"/>
                    </w:rPr>
                  </w:pPr>
                </w:p>
              </w:tc>
            </w:tr>
          </w:tbl>
          <w:p w:rsidR="00D06C84" w:rsidRPr="00D06C84" w:rsidRDefault="00D06C84" w:rsidP="00D06C84">
            <w:pPr>
              <w:spacing w:after="0" w:line="240" w:lineRule="auto"/>
              <w:jc w:val="center"/>
              <w:rPr>
                <w:rFonts w:ascii="Times New Roman" w:eastAsia="Times New Roman" w:hAnsi="Times New Roman" w:cs="Times New Roman"/>
                <w:color w:val="000000"/>
                <w:sz w:val="27"/>
                <w:szCs w:val="27"/>
                <w:lang w:eastAsia="fr-CA"/>
              </w:rPr>
            </w:pPr>
          </w:p>
        </w:tc>
      </w:tr>
    </w:tbl>
    <w:p w:rsidR="003F6149" w:rsidRDefault="00D06C84">
      <w:bookmarkStart w:id="0" w:name="_GoBack"/>
      <w:bookmarkEnd w:id="0"/>
    </w:p>
    <w:sectPr w:rsidR="003F6149" w:rsidSect="00D06C8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41CC"/>
    <w:multiLevelType w:val="multilevel"/>
    <w:tmpl w:val="F244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C84"/>
    <w:rsid w:val="0049624C"/>
    <w:rsid w:val="00D06C84"/>
    <w:rsid w:val="00DC6877"/>
    <w:rsid w:val="00E058E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06C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Titre2">
    <w:name w:val="heading 2"/>
    <w:basedOn w:val="Normal"/>
    <w:link w:val="Titre2Car"/>
    <w:uiPriority w:val="9"/>
    <w:qFormat/>
    <w:rsid w:val="00D06C84"/>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6C84"/>
    <w:rPr>
      <w:rFonts w:ascii="Times New Roman" w:eastAsia="Times New Roman" w:hAnsi="Times New Roman" w:cs="Times New Roman"/>
      <w:b/>
      <w:bCs/>
      <w:kern w:val="36"/>
      <w:sz w:val="48"/>
      <w:szCs w:val="48"/>
      <w:lang w:eastAsia="fr-CA"/>
    </w:rPr>
  </w:style>
  <w:style w:type="character" w:customStyle="1" w:styleId="Titre2Car">
    <w:name w:val="Titre 2 Car"/>
    <w:basedOn w:val="Policepardfaut"/>
    <w:link w:val="Titre2"/>
    <w:uiPriority w:val="9"/>
    <w:rsid w:val="00D06C84"/>
    <w:rPr>
      <w:rFonts w:ascii="Times New Roman" w:eastAsia="Times New Roman" w:hAnsi="Times New Roman" w:cs="Times New Roman"/>
      <w:b/>
      <w:bCs/>
      <w:sz w:val="36"/>
      <w:szCs w:val="36"/>
      <w:lang w:eastAsia="fr-CA"/>
    </w:rPr>
  </w:style>
  <w:style w:type="character" w:styleId="Accentuation">
    <w:name w:val="Emphasis"/>
    <w:basedOn w:val="Policepardfaut"/>
    <w:uiPriority w:val="20"/>
    <w:qFormat/>
    <w:rsid w:val="00D06C84"/>
    <w:rPr>
      <w:i/>
      <w:iCs/>
    </w:rPr>
  </w:style>
  <w:style w:type="paragraph" w:styleId="NormalWeb">
    <w:name w:val="Normal (Web)"/>
    <w:basedOn w:val="Normal"/>
    <w:uiPriority w:val="99"/>
    <w:semiHidden/>
    <w:unhideWhenUsed/>
    <w:rsid w:val="00D06C8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D06C84"/>
    <w:rPr>
      <w:b/>
      <w:bCs/>
    </w:rPr>
  </w:style>
  <w:style w:type="character" w:styleId="Lienhypertexte">
    <w:name w:val="Hyperlink"/>
    <w:basedOn w:val="Policepardfaut"/>
    <w:uiPriority w:val="99"/>
    <w:semiHidden/>
    <w:unhideWhenUsed/>
    <w:rsid w:val="00D06C84"/>
    <w:rPr>
      <w:color w:val="0000FF"/>
      <w:u w:val="single"/>
    </w:rPr>
  </w:style>
  <w:style w:type="character" w:customStyle="1" w:styleId="apple-converted-space">
    <w:name w:val="apple-converted-space"/>
    <w:basedOn w:val="Policepardfaut"/>
    <w:rsid w:val="00D06C84"/>
  </w:style>
  <w:style w:type="paragraph" w:styleId="Textedebulles">
    <w:name w:val="Balloon Text"/>
    <w:basedOn w:val="Normal"/>
    <w:link w:val="TextedebullesCar"/>
    <w:uiPriority w:val="99"/>
    <w:semiHidden/>
    <w:unhideWhenUsed/>
    <w:rsid w:val="00D06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6C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06C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Titre2">
    <w:name w:val="heading 2"/>
    <w:basedOn w:val="Normal"/>
    <w:link w:val="Titre2Car"/>
    <w:uiPriority w:val="9"/>
    <w:qFormat/>
    <w:rsid w:val="00D06C84"/>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6C84"/>
    <w:rPr>
      <w:rFonts w:ascii="Times New Roman" w:eastAsia="Times New Roman" w:hAnsi="Times New Roman" w:cs="Times New Roman"/>
      <w:b/>
      <w:bCs/>
      <w:kern w:val="36"/>
      <w:sz w:val="48"/>
      <w:szCs w:val="48"/>
      <w:lang w:eastAsia="fr-CA"/>
    </w:rPr>
  </w:style>
  <w:style w:type="character" w:customStyle="1" w:styleId="Titre2Car">
    <w:name w:val="Titre 2 Car"/>
    <w:basedOn w:val="Policepardfaut"/>
    <w:link w:val="Titre2"/>
    <w:uiPriority w:val="9"/>
    <w:rsid w:val="00D06C84"/>
    <w:rPr>
      <w:rFonts w:ascii="Times New Roman" w:eastAsia="Times New Roman" w:hAnsi="Times New Roman" w:cs="Times New Roman"/>
      <w:b/>
      <w:bCs/>
      <w:sz w:val="36"/>
      <w:szCs w:val="36"/>
      <w:lang w:eastAsia="fr-CA"/>
    </w:rPr>
  </w:style>
  <w:style w:type="character" w:styleId="Accentuation">
    <w:name w:val="Emphasis"/>
    <w:basedOn w:val="Policepardfaut"/>
    <w:uiPriority w:val="20"/>
    <w:qFormat/>
    <w:rsid w:val="00D06C84"/>
    <w:rPr>
      <w:i/>
      <w:iCs/>
    </w:rPr>
  </w:style>
  <w:style w:type="paragraph" w:styleId="NormalWeb">
    <w:name w:val="Normal (Web)"/>
    <w:basedOn w:val="Normal"/>
    <w:uiPriority w:val="99"/>
    <w:semiHidden/>
    <w:unhideWhenUsed/>
    <w:rsid w:val="00D06C8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D06C84"/>
    <w:rPr>
      <w:b/>
      <w:bCs/>
    </w:rPr>
  </w:style>
  <w:style w:type="character" w:styleId="Lienhypertexte">
    <w:name w:val="Hyperlink"/>
    <w:basedOn w:val="Policepardfaut"/>
    <w:uiPriority w:val="99"/>
    <w:semiHidden/>
    <w:unhideWhenUsed/>
    <w:rsid w:val="00D06C84"/>
    <w:rPr>
      <w:color w:val="0000FF"/>
      <w:u w:val="single"/>
    </w:rPr>
  </w:style>
  <w:style w:type="character" w:customStyle="1" w:styleId="apple-converted-space">
    <w:name w:val="apple-converted-space"/>
    <w:basedOn w:val="Policepardfaut"/>
    <w:rsid w:val="00D06C84"/>
  </w:style>
  <w:style w:type="paragraph" w:styleId="Textedebulles">
    <w:name w:val="Balloon Text"/>
    <w:basedOn w:val="Normal"/>
    <w:link w:val="TextedebullesCar"/>
    <w:uiPriority w:val="99"/>
    <w:semiHidden/>
    <w:unhideWhenUsed/>
    <w:rsid w:val="00D06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6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4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quesolutionsante.com/" TargetMode="External"/><Relationship Id="rId13" Type="http://schemas.openxmlformats.org/officeDocument/2006/relationships/hyperlink" Target="http://www.vision-sante.net/deficit_de_l_attention_hyperactivite_prevention.html" TargetMode="External"/><Relationship Id="rId1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ante.canoe.ca/channel_health_news_details.asp?channel_id=2001&amp;relation_id=3483&amp;news_channel_id=2001&amp;news_id=5482" TargetMode="External"/><Relationship Id="rId17" Type="http://schemas.openxmlformats.org/officeDocument/2006/relationships/hyperlink" Target="http://www.mailchimp.com/monkey-rewards/?utm_source=freemium_newsletter&amp;utm_medium=email&amp;utm_campaign=monkey_rewards&amp;aid=814debac19062cdfc36a0c018&amp;afl=1" TargetMode="External"/><Relationship Id="rId2" Type="http://schemas.openxmlformats.org/officeDocument/2006/relationships/styles" Target="styles.xml"/><Relationship Id="rId16" Type="http://schemas.openxmlformats.org/officeDocument/2006/relationships/hyperlink" Target="http://cliniquesolutionsante.us3.list-manage.com/profile?u=814debac19062cdfc36a0c018&amp;id=65a12aef44&amp;e=%5bUNIQID%5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neosante.org/comment-naturellement-a04340447.htm" TargetMode="External"/><Relationship Id="rId5" Type="http://schemas.openxmlformats.org/officeDocument/2006/relationships/webSettings" Target="webSettings.xml"/><Relationship Id="rId15" Type="http://schemas.openxmlformats.org/officeDocument/2006/relationships/hyperlink" Target="http://cliniquesolutionsante.us3.list-manage.com/unsubscribe?u=814debac19062cdfc36a0c018&amp;id=65a12aef44&amp;e=%5bUNIQID%5d&amp;c=5afe900588" TargetMode="External"/><Relationship Id="rId10" Type="http://schemas.openxmlformats.org/officeDocument/2006/relationships/hyperlink" Target="http://www.laviechiropratique.com/alternatives-naturelles-pour-les-troubles-de-deficit-de-lattentionhyperactivite-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rc-neuropsy.com/produits/outils-pour-le-tdah" TargetMode="External"/><Relationship Id="rId14" Type="http://schemas.openxmlformats.org/officeDocument/2006/relationships/hyperlink" Target="http://pixabay.com/fr/seul-%C3%AAtre-seul-r%C3%A9ponses-arch%C3%A9type-6225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1583</Words>
  <Characters>8707</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Suzanne</cp:lastModifiedBy>
  <cp:revision>1</cp:revision>
  <cp:lastPrinted>2014-03-05T15:32:00Z</cp:lastPrinted>
  <dcterms:created xsi:type="dcterms:W3CDTF">2014-03-05T15:26:00Z</dcterms:created>
  <dcterms:modified xsi:type="dcterms:W3CDTF">2014-03-05T15:33:00Z</dcterms:modified>
</cp:coreProperties>
</file>